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jc w:val="center"/>
        <w:rPr>
          <w:rFonts w:hint="eastAsia" w:ascii="宋体" w:hAnsi="宋体" w:eastAsia="宋体" w:cs="宋体"/>
          <w:i w:val="0"/>
          <w:iCs w:val="0"/>
          <w:caps w:val="0"/>
          <w:color w:val="000000"/>
          <w:spacing w:val="0"/>
          <w:sz w:val="24"/>
          <w:szCs w:val="24"/>
        </w:rPr>
      </w:pPr>
      <w:bookmarkStart w:id="0" w:name="_GoBack"/>
      <w:r>
        <w:rPr>
          <w:rFonts w:hint="eastAsia" w:ascii="宋体" w:hAnsi="宋体" w:eastAsia="宋体" w:cs="宋体"/>
          <w:i w:val="0"/>
          <w:iCs w:val="0"/>
          <w:caps w:val="0"/>
          <w:color w:val="000000"/>
          <w:spacing w:val="0"/>
          <w:sz w:val="24"/>
          <w:szCs w:val="24"/>
          <w:bdr w:val="none" w:color="auto" w:sz="0" w:space="0"/>
          <w:shd w:val="clear" w:fill="FFFFFF"/>
        </w:rPr>
        <w:t>安福县公开招聘政府专职消防员体能测试及岗位适应性测试评分标准</w:t>
      </w:r>
      <w:bookmarkEnd w:id="0"/>
    </w:p>
    <w:tbl>
      <w:tblPr>
        <w:tblW w:w="35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406"/>
        <w:gridCol w:w="220"/>
        <w:gridCol w:w="580"/>
        <w:gridCol w:w="627"/>
        <w:gridCol w:w="104"/>
        <w:gridCol w:w="731"/>
        <w:gridCol w:w="731"/>
        <w:gridCol w:w="731"/>
        <w:gridCol w:w="731"/>
        <w:gridCol w:w="709"/>
        <w:gridCol w:w="22"/>
        <w:gridCol w:w="731"/>
        <w:gridCol w:w="731"/>
        <w:gridCol w:w="731"/>
        <w:gridCol w:w="73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9855" w:type="dxa"/>
            <w:gridSpan w:val="15"/>
            <w:tcBorders>
              <w:top w:val="single" w:color="auto" w:sz="6" w:space="0"/>
              <w:left w:val="single" w:color="auto" w:sz="6" w:space="0"/>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pPr>
            <w:r>
              <w:rPr>
                <w:bdr w:val="none" w:color="auto" w:sz="0" w:space="0"/>
              </w:rPr>
              <w:t>一、体能测试项目及标准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10" w:hRule="atLeast"/>
          <w:jc w:val="center"/>
        </w:trPr>
        <w:tc>
          <w:tcPr>
            <w:tcW w:w="1440" w:type="dxa"/>
            <w:gridSpan w:val="3"/>
            <w:vMerge w:val="restart"/>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项目</w:t>
            </w:r>
          </w:p>
        </w:tc>
        <w:tc>
          <w:tcPr>
            <w:tcW w:w="8400" w:type="dxa"/>
            <w:gridSpan w:val="12"/>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测试成绩对应分值、测试办法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440" w:type="dxa"/>
            <w:gridSpan w:val="3"/>
            <w:vMerge w:val="continue"/>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825" w:type="dxa"/>
            <w:gridSpan w:val="2"/>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10分</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20分</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30分</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40分</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50分</w:t>
            </w:r>
          </w:p>
        </w:tc>
        <w:tc>
          <w:tcPr>
            <w:tcW w:w="825" w:type="dxa"/>
            <w:gridSpan w:val="2"/>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60分</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70分</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80分</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90分</w:t>
            </w:r>
          </w:p>
        </w:tc>
        <w:tc>
          <w:tcPr>
            <w:tcW w:w="93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100分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450" w:type="dxa"/>
            <w:vMerge w:val="restart"/>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男性</w:t>
            </w:r>
          </w:p>
        </w:tc>
        <w:tc>
          <w:tcPr>
            <w:tcW w:w="1005" w:type="dxa"/>
            <w:gridSpan w:val="2"/>
            <w:vMerge w:val="restart"/>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3000m跑</w:t>
            </w:r>
          </w:p>
        </w:tc>
        <w:tc>
          <w:tcPr>
            <w:tcW w:w="825" w:type="dxa"/>
            <w:gridSpan w:val="2"/>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17′30″</w:t>
            </w:r>
          </w:p>
        </w:tc>
        <w:tc>
          <w:tcPr>
            <w:tcW w:w="825" w:type="dxa"/>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17′00″</w:t>
            </w:r>
          </w:p>
        </w:tc>
        <w:tc>
          <w:tcPr>
            <w:tcW w:w="825" w:type="dxa"/>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16′30″</w:t>
            </w:r>
          </w:p>
        </w:tc>
        <w:tc>
          <w:tcPr>
            <w:tcW w:w="825" w:type="dxa"/>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16′00″</w:t>
            </w:r>
          </w:p>
        </w:tc>
        <w:tc>
          <w:tcPr>
            <w:tcW w:w="825" w:type="dxa"/>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15′30″</w:t>
            </w:r>
          </w:p>
        </w:tc>
        <w:tc>
          <w:tcPr>
            <w:tcW w:w="825" w:type="dxa"/>
            <w:gridSpan w:val="2"/>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14′50″</w:t>
            </w:r>
          </w:p>
        </w:tc>
        <w:tc>
          <w:tcPr>
            <w:tcW w:w="825" w:type="dxa"/>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14′10″</w:t>
            </w:r>
          </w:p>
        </w:tc>
        <w:tc>
          <w:tcPr>
            <w:tcW w:w="825" w:type="dxa"/>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13′30″</w:t>
            </w:r>
          </w:p>
        </w:tc>
        <w:tc>
          <w:tcPr>
            <w:tcW w:w="825" w:type="dxa"/>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12′50″</w:t>
            </w:r>
          </w:p>
        </w:tc>
        <w:tc>
          <w:tcPr>
            <w:tcW w:w="93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12′30″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980" w:hRule="atLeast"/>
          <w:jc w:val="center"/>
        </w:trPr>
        <w:tc>
          <w:tcPr>
            <w:tcW w:w="450" w:type="dxa"/>
            <w:vMerge w:val="continue"/>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1005" w:type="dxa"/>
            <w:gridSpan w:val="2"/>
            <w:vMerge w:val="continue"/>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8400" w:type="dxa"/>
            <w:gridSpan w:val="1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1.分组考核。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2.在400m标准跑道上标出起点线、终点线。听到“开始”口令，考生从起点线处起跑，向前跑7圈半，冲出终点线后，喊“好”。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3.考核以完成时间计算成绩。</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10" w:hRule="atLeast"/>
          <w:jc w:val="center"/>
        </w:trPr>
        <w:tc>
          <w:tcPr>
            <w:tcW w:w="450" w:type="dxa"/>
            <w:vMerge w:val="continue"/>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1005" w:type="dxa"/>
            <w:gridSpan w:val="2"/>
            <w:vMerge w:val="restart"/>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单杠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引体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向上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（次/3分钟）</w:t>
            </w:r>
          </w:p>
        </w:tc>
        <w:tc>
          <w:tcPr>
            <w:tcW w:w="825" w:type="dxa"/>
            <w:gridSpan w:val="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3</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4</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5</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6</w:t>
            </w:r>
          </w:p>
        </w:tc>
        <w:tc>
          <w:tcPr>
            <w:tcW w:w="825" w:type="dxa"/>
            <w:gridSpan w:val="2"/>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7</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8</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9</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10</w:t>
            </w:r>
          </w:p>
        </w:tc>
        <w:tc>
          <w:tcPr>
            <w:tcW w:w="93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650" w:hRule="atLeast"/>
          <w:jc w:val="center"/>
        </w:trPr>
        <w:tc>
          <w:tcPr>
            <w:tcW w:w="450" w:type="dxa"/>
            <w:vMerge w:val="continue"/>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1005" w:type="dxa"/>
            <w:gridSpan w:val="2"/>
            <w:vMerge w:val="continue"/>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8400" w:type="dxa"/>
            <w:gridSpan w:val="1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1.单个或分组考核。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2.按照规定动作要领完成动作。引体时下颌高于杠面、身体不得借助振浪或摆动、悬垂时双肘关节伸直；脚触及地面或立柱，结束考核。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3.考核以完成次数计算成绩。</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450" w:type="dxa"/>
            <w:vMerge w:val="continue"/>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1005" w:type="dxa"/>
            <w:gridSpan w:val="2"/>
            <w:vMerge w:val="restart"/>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100m跑(秒)</w:t>
            </w:r>
          </w:p>
        </w:tc>
        <w:tc>
          <w:tcPr>
            <w:tcW w:w="825" w:type="dxa"/>
            <w:gridSpan w:val="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16″70</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16″40</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16″10</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15″80</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15″50</w:t>
            </w:r>
          </w:p>
        </w:tc>
        <w:tc>
          <w:tcPr>
            <w:tcW w:w="825" w:type="dxa"/>
            <w:gridSpan w:val="2"/>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15″20</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14″90</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14″60</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14″30</w:t>
            </w:r>
          </w:p>
        </w:tc>
        <w:tc>
          <w:tcPr>
            <w:tcW w:w="93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14″00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365" w:hRule="atLeast"/>
          <w:jc w:val="center"/>
        </w:trPr>
        <w:tc>
          <w:tcPr>
            <w:tcW w:w="450" w:type="dxa"/>
            <w:vMerge w:val="continue"/>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1005" w:type="dxa"/>
            <w:gridSpan w:val="2"/>
            <w:vMerge w:val="continue"/>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8400" w:type="dxa"/>
            <w:gridSpan w:val="1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1.分组考核。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2.在100米长直线跑道上标出起点线和终点线，考生从起点线处听到起跑口令后起跑，通过终点线记录时间。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3.抢跑犯规，重新组织起跑；跑出本道或用其他方式干扰、阻碍他人者不记录成绩。</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10" w:hRule="atLeast"/>
          <w:jc w:val="center"/>
        </w:trPr>
        <w:tc>
          <w:tcPr>
            <w:tcW w:w="450" w:type="dxa"/>
            <w:vMerge w:val="continue"/>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1005" w:type="dxa"/>
            <w:gridSpan w:val="2"/>
            <w:vMerge w:val="restart"/>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立定跳远（米）</w:t>
            </w:r>
          </w:p>
        </w:tc>
        <w:tc>
          <w:tcPr>
            <w:tcW w:w="825" w:type="dxa"/>
            <w:gridSpan w:val="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2.09</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2.13</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2.17</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2.21</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2.25</w:t>
            </w:r>
          </w:p>
        </w:tc>
        <w:tc>
          <w:tcPr>
            <w:tcW w:w="825" w:type="dxa"/>
            <w:gridSpan w:val="2"/>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2.29</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2.33</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2.37</w:t>
            </w:r>
          </w:p>
        </w:tc>
        <w:tc>
          <w:tcPr>
            <w:tcW w:w="82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2.41</w:t>
            </w:r>
          </w:p>
        </w:tc>
        <w:tc>
          <w:tcPr>
            <w:tcW w:w="93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770" w:hRule="atLeast"/>
          <w:jc w:val="center"/>
        </w:trPr>
        <w:tc>
          <w:tcPr>
            <w:tcW w:w="450" w:type="dxa"/>
            <w:vMerge w:val="continue"/>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1005" w:type="dxa"/>
            <w:gridSpan w:val="2"/>
            <w:vMerge w:val="continue"/>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8400" w:type="dxa"/>
            <w:gridSpan w:val="1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1.单个或分组考核。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2.在跑道或平地上标出起跳线，考生站立在起跳线后，脚尖不得踩线，脚尖不得离开地面，两脚原地同时起跳，不得有助跑、垫布或连跳动作，测量起跳线后沿至身体任何着地最近点后沿的垂直距离。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3.考核以完成跳出长度计算成绩（两次测试、记录成绩较好的1次）。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080" w:hRule="atLeast"/>
          <w:jc w:val="center"/>
        </w:trPr>
        <w:tc>
          <w:tcPr>
            <w:tcW w:w="45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备注</w:t>
            </w:r>
          </w:p>
        </w:tc>
        <w:tc>
          <w:tcPr>
            <w:tcW w:w="9405" w:type="dxa"/>
            <w:gridSpan w:val="14"/>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1.任一项达不到最低分值的，视为“不合格”。其中立定跳远可允许操作2次，其它项目操作1次。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2.测试项目及标准中的“以上”“以下”均含本级、本数。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9855" w:type="dxa"/>
            <w:gridSpan w:val="15"/>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pPr>
            <w:r>
              <w:rPr>
                <w:bdr w:val="none" w:color="auto" w:sz="0" w:space="0"/>
              </w:rPr>
              <w:t>二、岗位适应性测试项目和标准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2130" w:type="dxa"/>
            <w:gridSpan w:val="4"/>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项目</w:t>
            </w:r>
          </w:p>
        </w:tc>
        <w:tc>
          <w:tcPr>
            <w:tcW w:w="4230" w:type="dxa"/>
            <w:gridSpan w:val="6"/>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测试办法</w:t>
            </w:r>
          </w:p>
        </w:tc>
        <w:tc>
          <w:tcPr>
            <w:tcW w:w="855" w:type="dxa"/>
            <w:gridSpan w:val="2"/>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优秀</w:t>
            </w:r>
          </w:p>
        </w:tc>
        <w:tc>
          <w:tcPr>
            <w:tcW w:w="85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良好</w:t>
            </w:r>
          </w:p>
        </w:tc>
        <w:tc>
          <w:tcPr>
            <w:tcW w:w="85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中等</w:t>
            </w:r>
          </w:p>
        </w:tc>
        <w:tc>
          <w:tcPr>
            <w:tcW w:w="94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一般</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395" w:hRule="atLeast"/>
          <w:jc w:val="center"/>
        </w:trPr>
        <w:tc>
          <w:tcPr>
            <w:tcW w:w="705" w:type="dxa"/>
            <w:gridSpan w:val="2"/>
            <w:vMerge w:val="restart"/>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性</w:t>
            </w:r>
          </w:p>
        </w:tc>
        <w:tc>
          <w:tcPr>
            <w:tcW w:w="1410" w:type="dxa"/>
            <w:gridSpan w:val="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负重登六楼</w:t>
            </w:r>
          </w:p>
        </w:tc>
        <w:tc>
          <w:tcPr>
            <w:tcW w:w="4230" w:type="dxa"/>
            <w:gridSpan w:val="6"/>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考生佩戴消防头盔及消防安全腰带，手提两盘65毫米口径水带，从一楼楼梯口登至六楼楼梯口。记录时间。</w:t>
            </w:r>
          </w:p>
        </w:tc>
        <w:tc>
          <w:tcPr>
            <w:tcW w:w="855" w:type="dxa"/>
            <w:gridSpan w:val="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1′15″</w:t>
            </w:r>
          </w:p>
        </w:tc>
        <w:tc>
          <w:tcPr>
            <w:tcW w:w="85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1′30″</w:t>
            </w:r>
          </w:p>
        </w:tc>
        <w:tc>
          <w:tcPr>
            <w:tcW w:w="85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1′40″</w:t>
            </w:r>
          </w:p>
        </w:tc>
        <w:tc>
          <w:tcPr>
            <w:tcW w:w="94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1′50″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705" w:type="dxa"/>
            <w:gridSpan w:val="2"/>
            <w:vMerge w:val="continue"/>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rPr>
                <w:rFonts w:hint="eastAsia" w:ascii="宋体"/>
                <w:sz w:val="24"/>
                <w:szCs w:val="24"/>
              </w:rPr>
            </w:pPr>
          </w:p>
        </w:tc>
        <w:tc>
          <w:tcPr>
            <w:tcW w:w="1410" w:type="dxa"/>
            <w:gridSpan w:val="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拖拽</w:t>
            </w:r>
          </w:p>
        </w:tc>
        <w:tc>
          <w:tcPr>
            <w:tcW w:w="4230" w:type="dxa"/>
            <w:gridSpan w:val="6"/>
            <w:tcBorders>
              <w:top w:val="nil"/>
              <w:left w:val="nil"/>
              <w:bottom w:val="single" w:color="auto" w:sz="6" w:space="0"/>
              <w:right w:val="single" w:color="auto" w:sz="6" w:space="0"/>
            </w:tcBorders>
            <w:shd w:val="clear"/>
            <w:tcMar>
              <w:top w:w="0" w:type="dxa"/>
              <w:left w:w="105" w:type="dxa"/>
              <w:bottom w:w="0"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考生佩戴消防头盔及消防安全腰带，将60公斤重的假人从起点线拖拽至距离起点线10米处的终点线，（假人整体越过终点线）。记录时间。</w:t>
            </w:r>
          </w:p>
        </w:tc>
        <w:tc>
          <w:tcPr>
            <w:tcW w:w="855" w:type="dxa"/>
            <w:gridSpan w:val="2"/>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12″</w:t>
            </w:r>
          </w:p>
        </w:tc>
        <w:tc>
          <w:tcPr>
            <w:tcW w:w="85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13″</w:t>
            </w:r>
          </w:p>
        </w:tc>
        <w:tc>
          <w:tcPr>
            <w:tcW w:w="85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14″</w:t>
            </w:r>
          </w:p>
        </w:tc>
        <w:tc>
          <w:tcPr>
            <w:tcW w:w="94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1320" w:hRule="atLeast"/>
          <w:jc w:val="center"/>
        </w:trPr>
        <w:tc>
          <w:tcPr>
            <w:tcW w:w="705" w:type="dxa"/>
            <w:gridSpan w:val="2"/>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注</w:t>
            </w:r>
          </w:p>
        </w:tc>
        <w:tc>
          <w:tcPr>
            <w:tcW w:w="9135" w:type="dxa"/>
            <w:gridSpan w:val="13"/>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left"/>
            </w:pPr>
            <w:r>
              <w:rPr>
                <w:bdr w:val="none" w:color="auto" w:sz="0" w:space="0"/>
              </w:rPr>
              <w:t>任一项达不到“一般”标准的，视为“不合格”。</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D05BD"/>
    <w:rsid w:val="495D05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2021-06-18T08:11:00Z</dcterms:created>
  <dc:creator>紫宫初雪</dc:creator>
  <cp:lastModifiedBy>紫宫初雪</cp:lastModifiedBy>
  <dcterms:modified xsi:type="dcterms:W3CDTF">2021-06-18T08:12:40Z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1BF74CD6A31E46CC9EFCEF545577B450</vt:lpwstr>
  </property>
</Properties>
</file>