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F9FAFC" w:sz="6" w:space="7"/>
          <w:right w:val="none" w:color="auto" w:sz="0" w:space="0"/>
        </w:pBdr>
        <w:spacing w:before="0" w:beforeAutospacing="0" w:after="0" w:afterAutospacing="0"/>
        <w:ind w:left="0" w:right="0" w:firstLine="0"/>
        <w:jc w:val="left"/>
        <w:rPr>
          <w:rFonts w:ascii="Microsoft YaHei UI" w:hAnsi="Microsoft YaHei UI" w:eastAsia="Microsoft YaHei UI" w:cs="Microsoft YaHei UI"/>
          <w:b/>
          <w:bCs/>
          <w:i w:val="0"/>
          <w:iCs w:val="0"/>
          <w:caps w:val="0"/>
          <w:color w:val="333333"/>
          <w:spacing w:val="30"/>
          <w:sz w:val="22"/>
          <w:szCs w:val="22"/>
        </w:rPr>
      </w:pPr>
      <w:r>
        <w:rPr>
          <w:rFonts w:hint="default" w:ascii="Microsoft YaHei UI" w:hAnsi="Microsoft YaHei UI" w:eastAsia="Microsoft YaHei UI" w:cs="Microsoft YaHei UI"/>
          <w:b/>
          <w:bCs/>
          <w:i w:val="0"/>
          <w:iCs w:val="0"/>
          <w:caps w:val="0"/>
          <w:color w:val="333333"/>
          <w:spacing w:val="30"/>
          <w:kern w:val="0"/>
          <w:sz w:val="22"/>
          <w:szCs w:val="22"/>
          <w:bdr w:val="none" w:color="auto" w:sz="0" w:space="0"/>
          <w:lang w:val="en-US" w:eastAsia="zh-CN" w:bidi="ar"/>
        </w:rPr>
        <w:t>宁波海曙开投下属子公司外派财务总监笔试成绩和入围面试人员名单的通知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375" w:lineRule="atLeast"/>
        <w:ind w:left="0" w:right="0" w:firstLine="0"/>
        <w:jc w:val="left"/>
        <w:rPr>
          <w:rFonts w:hint="default" w:ascii="Microsoft YaHei UI" w:hAnsi="Microsoft YaHei UI" w:eastAsia="Microsoft YaHei UI" w:cs="Microsoft YaHei UI"/>
          <w:i w:val="0"/>
          <w:iCs w:val="0"/>
          <w:caps w:val="0"/>
          <w:color w:val="333333"/>
          <w:spacing w:val="15"/>
          <w:sz w:val="21"/>
          <w:szCs w:val="21"/>
        </w:rPr>
      </w:pPr>
      <w:r>
        <w:rPr>
          <w:rFonts w:hint="default" w:ascii="Microsoft YaHei UI" w:hAnsi="Microsoft YaHei UI" w:eastAsia="Microsoft YaHei UI" w:cs="Microsoft YaHei UI"/>
          <w:i w:val="0"/>
          <w:iCs w:val="0"/>
          <w:caps w:val="0"/>
          <w:color w:val="333333"/>
          <w:spacing w:val="15"/>
          <w:kern w:val="0"/>
          <w:sz w:val="21"/>
          <w:szCs w:val="21"/>
          <w:bdr w:val="none" w:color="auto" w:sz="0" w:space="0"/>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jc w:val="both"/>
      </w:pPr>
      <w:r>
        <w:rPr>
          <w:rFonts w:hint="eastAsia" w:ascii="宋体" w:hAnsi="宋体" w:eastAsia="宋体" w:cs="宋体"/>
          <w:i w:val="0"/>
          <w:iCs w:val="0"/>
          <w:caps w:val="0"/>
          <w:color w:val="333333"/>
          <w:spacing w:val="15"/>
          <w:sz w:val="18"/>
          <w:szCs w:val="18"/>
          <w:bdr w:val="none" w:color="auto" w:sz="0" w:space="0"/>
        </w:rPr>
        <w:t>根据《宁波市海曙开发建设投资集团有限公司下属子公司外派财务总监的公告》规定，现将笔试成绩和入围面试的人员名单予以公布。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jc w:val="both"/>
      </w:pPr>
      <w:r>
        <w:rPr>
          <w:rFonts w:hint="eastAsia" w:ascii="宋体" w:hAnsi="宋体" w:eastAsia="宋体" w:cs="宋体"/>
          <w:i w:val="0"/>
          <w:iCs w:val="0"/>
          <w:caps w:val="0"/>
          <w:color w:val="333333"/>
          <w:spacing w:val="15"/>
          <w:sz w:val="18"/>
          <w:szCs w:val="18"/>
          <w:bdr w:val="none" w:color="auto" w:sz="0" w:space="0"/>
        </w:rPr>
        <w:t>根据面谈合格成绩（从高分到低分）按招聘职位指标数5倍的比例确定笔试和面试人员（不足比例的按实际人数确定）。参加笔试人员全部进入面试。</w:t>
      </w:r>
    </w:p>
    <w:tbl>
      <w:tblPr>
        <w:tblW w:w="7420" w:type="dxa"/>
        <w:tblInd w:w="11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30"/>
        <w:gridCol w:w="1206"/>
        <w:gridCol w:w="1059"/>
        <w:gridCol w:w="1059"/>
        <w:gridCol w:w="1059"/>
        <w:gridCol w:w="15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90" w:hRule="atLeast"/>
        </w:trPr>
        <w:tc>
          <w:tcPr>
            <w:tcW w:w="156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18"/>
                <w:szCs w:val="18"/>
                <w:bdr w:val="none" w:color="auto" w:sz="0" w:space="0"/>
              </w:rPr>
              <w:t>报考岗位</w:t>
            </w:r>
          </w:p>
        </w:tc>
        <w:tc>
          <w:tcPr>
            <w:tcW w:w="108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18"/>
                <w:szCs w:val="18"/>
                <w:bdr w:val="none" w:color="auto" w:sz="0" w:space="0"/>
              </w:rPr>
              <w:t>准考证号</w:t>
            </w:r>
          </w:p>
        </w:tc>
        <w:tc>
          <w:tcPr>
            <w:tcW w:w="108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18"/>
                <w:szCs w:val="18"/>
                <w:bdr w:val="none" w:color="auto" w:sz="0" w:space="0"/>
              </w:rPr>
              <w:t>招聘指标</w:t>
            </w:r>
          </w:p>
        </w:tc>
        <w:tc>
          <w:tcPr>
            <w:tcW w:w="108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18"/>
                <w:szCs w:val="18"/>
                <w:bdr w:val="none" w:color="auto" w:sz="0" w:space="0"/>
              </w:rPr>
              <w:t>成绩</w:t>
            </w:r>
          </w:p>
        </w:tc>
        <w:tc>
          <w:tcPr>
            <w:tcW w:w="108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18"/>
                <w:szCs w:val="18"/>
                <w:bdr w:val="none" w:color="auto" w:sz="0" w:space="0"/>
              </w:rPr>
              <w:t>名次</w:t>
            </w:r>
          </w:p>
        </w:tc>
        <w:tc>
          <w:tcPr>
            <w:tcW w:w="154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sz w:val="18"/>
                <w:szCs w:val="18"/>
                <w:bdr w:val="none" w:color="auto" w:sz="0" w:space="0"/>
              </w:rPr>
              <w:t>是否进入面试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00" w:hRule="atLeast"/>
        </w:trPr>
        <w:tc>
          <w:tcPr>
            <w:tcW w:w="1560" w:type="dxa"/>
            <w:vMerge w:val="restart"/>
            <w:tcBorders>
              <w:top w:val="nil"/>
              <w:left w:val="single" w:color="auto" w:sz="8" w:space="0"/>
              <w:bottom w:val="single" w:color="000000"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宁波海虹投资发展有限公司（外派财务总监)</w:t>
            </w: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20210010104</w:t>
            </w:r>
          </w:p>
        </w:tc>
        <w:tc>
          <w:tcPr>
            <w:tcW w:w="1080" w:type="dxa"/>
            <w:vMerge w:val="restart"/>
            <w:tcBorders>
              <w:top w:val="nil"/>
              <w:left w:val="nil"/>
              <w:bottom w:val="single" w:color="000000"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1</w:t>
            </w: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65</w:t>
            </w: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1</w:t>
            </w:r>
          </w:p>
        </w:tc>
        <w:tc>
          <w:tcPr>
            <w:tcW w:w="154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00" w:hRule="atLeast"/>
        </w:trPr>
        <w:tc>
          <w:tcPr>
            <w:tcW w:w="1560"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20210010103</w:t>
            </w:r>
          </w:p>
        </w:tc>
        <w:tc>
          <w:tcPr>
            <w:tcW w:w="1080" w:type="dxa"/>
            <w:vMerge w:val="continue"/>
            <w:tcBorders>
              <w:top w:val="nil"/>
              <w:left w:val="nil"/>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62</w:t>
            </w: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2</w:t>
            </w:r>
          </w:p>
        </w:tc>
        <w:tc>
          <w:tcPr>
            <w:tcW w:w="154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00" w:hRule="atLeast"/>
        </w:trPr>
        <w:tc>
          <w:tcPr>
            <w:tcW w:w="1560"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20210010101</w:t>
            </w:r>
          </w:p>
        </w:tc>
        <w:tc>
          <w:tcPr>
            <w:tcW w:w="1080" w:type="dxa"/>
            <w:vMerge w:val="continue"/>
            <w:tcBorders>
              <w:top w:val="nil"/>
              <w:left w:val="nil"/>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61</w:t>
            </w: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3</w:t>
            </w:r>
          </w:p>
        </w:tc>
        <w:tc>
          <w:tcPr>
            <w:tcW w:w="154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0" w:hRule="atLeast"/>
        </w:trPr>
        <w:tc>
          <w:tcPr>
            <w:tcW w:w="1560"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20210010105</w:t>
            </w:r>
          </w:p>
        </w:tc>
        <w:tc>
          <w:tcPr>
            <w:tcW w:w="1080" w:type="dxa"/>
            <w:vMerge w:val="continue"/>
            <w:tcBorders>
              <w:top w:val="nil"/>
              <w:left w:val="nil"/>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60</w:t>
            </w: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4</w:t>
            </w:r>
          </w:p>
        </w:tc>
        <w:tc>
          <w:tcPr>
            <w:tcW w:w="154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00" w:hRule="atLeast"/>
        </w:trPr>
        <w:tc>
          <w:tcPr>
            <w:tcW w:w="1560" w:type="dxa"/>
            <w:vMerge w:val="continue"/>
            <w:tcBorders>
              <w:top w:val="nil"/>
              <w:left w:val="single" w:color="auto" w:sz="8" w:space="0"/>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20210010102</w:t>
            </w:r>
          </w:p>
        </w:tc>
        <w:tc>
          <w:tcPr>
            <w:tcW w:w="1080" w:type="dxa"/>
            <w:vMerge w:val="continue"/>
            <w:tcBorders>
              <w:top w:val="nil"/>
              <w:left w:val="nil"/>
              <w:bottom w:val="single" w:color="000000" w:sz="8" w:space="0"/>
              <w:right w:val="single" w:color="auto" w:sz="8" w:space="0"/>
            </w:tcBorders>
            <w:shd w:val="clear"/>
            <w:tcMar>
              <w:left w:w="108" w:type="dxa"/>
              <w:right w:w="108" w:type="dxa"/>
            </w:tcMar>
            <w:vAlign w:val="center"/>
          </w:tcPr>
          <w:p>
            <w:pPr>
              <w:rPr>
                <w:rFonts w:hint="eastAsia" w:ascii="宋体"/>
                <w:sz w:val="24"/>
                <w:szCs w:val="24"/>
              </w:rPr>
            </w:pP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59</w:t>
            </w:r>
          </w:p>
        </w:tc>
        <w:tc>
          <w:tcPr>
            <w:tcW w:w="108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5</w:t>
            </w:r>
          </w:p>
        </w:tc>
        <w:tc>
          <w:tcPr>
            <w:tcW w:w="154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sz w:val="18"/>
                <w:szCs w:val="18"/>
                <w:bdr w:val="none" w:color="auto" w:sz="0" w:space="0"/>
              </w:rPr>
              <w:t>是</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jc w:val="both"/>
      </w:pPr>
      <w:r>
        <w:rPr>
          <w:rFonts w:hint="eastAsia" w:ascii="宋体" w:hAnsi="宋体" w:eastAsia="宋体" w:cs="宋体"/>
          <w:i w:val="0"/>
          <w:iCs w:val="0"/>
          <w:caps w:val="0"/>
          <w:color w:val="333333"/>
          <w:spacing w:val="15"/>
          <w:sz w:val="18"/>
          <w:szCs w:val="18"/>
          <w:bdr w:val="none" w:color="auto" w:sz="0" w:space="0"/>
        </w:rPr>
        <w:t>面试具体时间和地点另行通知，近期请保持报名时填写的手机畅通。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jc w:val="both"/>
      </w:pPr>
      <w:r>
        <w:rPr>
          <w:rFonts w:hint="eastAsia" w:ascii="宋体" w:hAnsi="宋体" w:eastAsia="宋体" w:cs="宋体"/>
          <w:i w:val="0"/>
          <w:iCs w:val="0"/>
          <w:caps w:val="0"/>
          <w:color w:val="333333"/>
          <w:spacing w:val="15"/>
          <w:sz w:val="18"/>
          <w:szCs w:val="18"/>
          <w:bdr w:val="none" w:color="auto" w:sz="0" w:space="0"/>
        </w:rPr>
        <w:t>本次公开招聘咨询电话：0574-83867521；监督电话：0574-87277391。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jc w:val="both"/>
      </w:pPr>
      <w:r>
        <w:rPr>
          <w:rFonts w:ascii="黑体" w:hAnsi="宋体" w:eastAsia="黑体" w:cs="黑体"/>
          <w:i w:val="0"/>
          <w:iCs w:val="0"/>
          <w:caps w:val="0"/>
          <w:color w:val="333333"/>
          <w:spacing w:val="15"/>
          <w:sz w:val="44"/>
          <w:szCs w:val="4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jc w:val="both"/>
      </w:pPr>
      <w:r>
        <w:rPr>
          <w:rFonts w:hint="eastAsia" w:ascii="黑体" w:hAnsi="宋体" w:eastAsia="黑体" w:cs="黑体"/>
          <w:i w:val="0"/>
          <w:iCs w:val="0"/>
          <w:caps w:val="0"/>
          <w:color w:val="333333"/>
          <w:spacing w:val="15"/>
          <w:sz w:val="44"/>
          <w:szCs w:val="44"/>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jc w:val="right"/>
      </w:pPr>
      <w:r>
        <w:rPr>
          <w:rFonts w:hint="eastAsia" w:ascii="宋体" w:hAnsi="宋体" w:eastAsia="宋体" w:cs="宋体"/>
          <w:i w:val="0"/>
          <w:iCs w:val="0"/>
          <w:caps w:val="0"/>
          <w:color w:val="333333"/>
          <w:spacing w:val="15"/>
          <w:sz w:val="18"/>
          <w:szCs w:val="18"/>
          <w:bdr w:val="none" w:color="auto" w:sz="0" w:space="0"/>
        </w:rPr>
        <w:t>宁波市海曙开发建设投资集团有限公司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jc w:val="right"/>
      </w:pPr>
      <w:r>
        <w:rPr>
          <w:rFonts w:hint="eastAsia" w:ascii="宋体" w:hAnsi="宋体" w:eastAsia="宋体" w:cs="宋体"/>
          <w:i w:val="0"/>
          <w:iCs w:val="0"/>
          <w:caps w:val="0"/>
          <w:color w:val="333333"/>
          <w:spacing w:val="15"/>
          <w:sz w:val="18"/>
          <w:szCs w:val="18"/>
          <w:bdr w:val="none" w:color="auto" w:sz="0" w:space="0"/>
        </w:rPr>
        <w:t>                           2021年9月18日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860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2021-09-22T01:03:07Z</dcterms:created>
  <dc:creator>Administrator</dc:creator>
  <cp:lastModifiedBy>那时花开咖啡馆。</cp:lastModifiedBy>
  <dcterms:modified xsi:type="dcterms:W3CDTF">2021-09-22T01:03:09Z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DD455209C6574F51BD54EEB3B8A50EE4</vt:lpwstr>
  </property>
</Properties>
</file>