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t>1</w:t>
      </w:r>
      <w:bookmarkStart w:id="0" w:name="_GoBack"/>
      <w:r>
        <w:rPr>
          <w:sz w:val="20"/>
          <w:szCs w:val="20"/>
          <w:bdr w:val="none" w:color="auto" w:sz="0" w:space="0"/>
          <w:shd w:val="clear" w:fill="FFFFFF"/>
        </w:rPr>
        <w:t>.成都市郫都区第二人民医院返聘退休人员岗位表</w:t>
      </w:r>
    </w:p>
    <w:bookmarkEnd w:id="0"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5469890" cy="835660"/>
            <wp:effectExtent l="0" t="0" r="698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9890" cy="835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jc w:val="left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t>2.成都市郫都区第二人民医院疫情期间现场报名温馨提示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jc w:val="center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t>近14天未接触过新冠肺炎病例、入境人员、密切接触者、中高风险地区返川人员，持以下材料报名：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t>1.提供本人48小时内的核酸检测报告；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t>2.提供本人当日健康码、近14天外出活动轨迹和近14天未到过中高风险地区的承诺书。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t>3.若本人近14天曾到过高中风险地区，请提供完成隔离管理的证明材料，或已完成居家健康监测的承诺书。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t>4.建议不乘坐公共交通工具，若确需乘坐公共交通工具，应严格做好个人防护。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t>5.完成新冠疫苗接种并提供证明。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 w:firstLine="420"/>
        <w:rPr>
          <w:sz w:val="20"/>
          <w:szCs w:val="20"/>
        </w:rPr>
      </w:pPr>
      <w:r>
        <w:rPr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E1FAB"/>
    <w:rsid w:val="62FE1F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6">
    <w:name w:val="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7">
    <w:name w:val="showbtn"/>
    <w:basedOn w:val="4"/>
    <w:uiPriority w:val="0"/>
    <w:rPr>
      <w:vanish/>
    </w:rPr>
  </w:style>
  <w:style w:type="character" w:customStyle="1" w:styleId="8">
    <w:name w:val="hidebt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2021-09-01T13:00:00Z</dcterms:created>
  <dc:creator>WPS_1609033458</dc:creator>
  <cp:lastModifiedBy>WPS_1609033458</cp:lastModifiedBy>
  <dcterms:modified xsi:type="dcterms:W3CDTF">2021-09-01T13:01:17Z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1CFCA352840F44BB9C6ECD668F9C6C71</vt:lpwstr>
  </property>
</Properties>
</file>