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i w:val="0"/>
          <w:iCs w:val="0"/>
          <w:caps w:val="0"/>
          <w:color w:val="333333"/>
          <w:spacing w:val="0"/>
          <w:sz w:val="20"/>
          <w:szCs w:val="20"/>
        </w:rPr>
      </w:pPr>
      <w:r>
        <w:rPr>
          <w:rFonts w:ascii="黑体" w:hAnsi="宋体" w:eastAsia="黑体" w:cs="黑体"/>
          <w:i w:val="0"/>
          <w:iCs w:val="0"/>
          <w:caps w:val="0"/>
          <w:color w:val="333333"/>
          <w:spacing w:val="0"/>
          <w:kern w:val="0"/>
          <w:sz w:val="44"/>
          <w:szCs w:val="44"/>
          <w:bdr w:val="none" w:color="auto" w:sz="0" w:space="0"/>
          <w:shd w:val="clear" w:fill="FFFFFF"/>
          <w:lang w:val="en-US" w:eastAsia="zh-CN" w:bidi="ar"/>
        </w:rPr>
        <w:t>专业测试</w:t>
      </w:r>
      <w:r>
        <w:rPr>
          <w:rFonts w:hint="eastAsia" w:ascii="黑体" w:hAnsi="宋体" w:eastAsia="黑体" w:cs="黑体"/>
          <w:i w:val="0"/>
          <w:iCs w:val="0"/>
          <w:caps w:val="0"/>
          <w:color w:val="333333"/>
          <w:spacing w:val="0"/>
          <w:kern w:val="0"/>
          <w:sz w:val="44"/>
          <w:szCs w:val="44"/>
          <w:bdr w:val="none" w:color="auto" w:sz="0" w:space="0"/>
          <w:shd w:val="clear" w:fill="FFFFFF"/>
          <w:lang w:val="en-US" w:eastAsia="zh-CN" w:bidi="ar"/>
        </w:rPr>
        <w:t>期间疫情防控须知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333333"/>
          <w:spacing w:val="0"/>
          <w:sz w:val="20"/>
          <w:szCs w:val="20"/>
        </w:rPr>
      </w:pPr>
      <w:r>
        <w:rPr>
          <w:rFonts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考生应提前申领健康码,持续关注健康码状态并保持通讯畅通。“红码”、“黄码”考生应咨询当地疫情防控部门，按要求通过每日健康打卡、持码人申诉、隔离观察无异常、核酸检测等方式，在专业测试前转为“绿码”。健康码绿码且体温正常的考生可正常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2.考生应从专业测试日前14天开始，启动体温监测，按照“一日一测，异常情况随时报”的疫情报告制度，及时将异常情况报告所在单位或社区防疫部门。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3.请考生考前自行查验通信大数据行程卡。根据芜湖市疫情防控有关要求，如中高风险地区人员已来（返）芜，一律实施14天集中隔离和健康观察，实行2次核酸检测。近14天以来有中高风险地区旅居史的面试考生应于9月4日前主动向芜湖市人事考试院报告。</w:t>
      </w:r>
      <w:r>
        <w:rPr>
          <w:rFonts w:hint="default" w:ascii="仿宋_GB2312" w:hAnsi="微软雅黑" w:eastAsia="仿宋_GB2312" w:cs="仿宋_GB2312"/>
          <w:b/>
          <w:bCs/>
          <w:i w:val="0"/>
          <w:iCs w:val="0"/>
          <w:caps w:val="0"/>
          <w:color w:val="333333"/>
          <w:spacing w:val="0"/>
          <w:kern w:val="0"/>
          <w:sz w:val="32"/>
          <w:szCs w:val="32"/>
          <w:bdr w:val="none" w:color="auto" w:sz="0" w:space="0"/>
          <w:shd w:val="clear" w:fill="FFFFFF"/>
          <w:lang w:val="en-US" w:eastAsia="zh-CN" w:bidi="ar"/>
        </w:rPr>
        <w:t>所有考生专业测试当天入场时携带48小时内核酸检测报告阴性证明原件和复印件（原件核验，复印件留存）， </w:t>
      </w:r>
      <w:r>
        <w:rPr>
          <w:rFonts w:hint="default" w:ascii="仿宋_GB2312" w:hAnsi="微软雅黑" w:eastAsia="仿宋_GB2312" w:cs="仿宋_GB2312"/>
          <w:b/>
          <w:bCs/>
          <w:i w:val="0"/>
          <w:iCs w:val="0"/>
          <w:caps w:val="0"/>
          <w:color w:val="000000"/>
          <w:spacing w:val="23"/>
          <w:kern w:val="0"/>
          <w:sz w:val="32"/>
          <w:szCs w:val="32"/>
          <w:bdr w:val="none" w:color="auto" w:sz="0" w:space="0"/>
          <w:shd w:val="clear" w:fill="FFFFFF"/>
          <w:lang w:val="en-US" w:eastAsia="zh-CN" w:bidi="ar"/>
        </w:rPr>
        <w:t>并用手机扫描现场二维码将健康码和新冠病毒疫苗接种记录（标识）扫描结果出示给工作人员</w:t>
      </w: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在疫情期间14天内到访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4.专业测试日前14天内，考生应避免在国内疫情中高风险地区或国（境）外旅行、居住；避免与新冠肺炎确诊病例、疑似病例、无症状感染者及中高风险区域人员接触；尽量避免去人群密集的场所活动。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5.考生在备考过程中，要做好自我防护，注意个人卫生，加强营养和合理休息，防止过度紧张和疲劳，以良好心态和身体素质参加面试，如有发热、干咳、乏力等不适，应及时就医，并向芜湖市人事考试院报告。专业测试当天要采取合适的出行方式前往考点，与他人保持安全间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6.专业测试前未完成转码的少数“红码”、“黄码”考生，考生与芜湖市人事考试院联系后，可于专业测试当天直接前往指定考点，出示县级及以上医院开具的健康证明等材料，如实报告近期接触史、旅行史等情况，并作出书面承诺，经核验后安排在隔离考场进行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7.专业测试期间，考生应自备口罩，并按照考点所在地疫情风险等级和防控要求科学佩戴口罩。在考点入场及考后离场等人群聚集环节，全程佩戴口罩，但在接受身份识别验证、答题环节等特殊情况下须摘除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9.在专业测试过程中出现发热、咳嗽等异常症状的考生，应服从专业测试工作人员安排，立即转移到隔离考场继续专业测试。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10.专业测试过程中，考生因个人原因需要接受健康监测或需要转移到隔离考场而耽误的考试时间不予补充。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11.专业测试期间，考生要自觉维护专业测试秩序，与其他考生保持安全防控距离，服从现场工作人员安排，专业测试结束后按规定有序离场。所有在隔离考场参加专业测试的考生，须由现场医护人员根据疫情防控相关规定到指定医疗机构进行检测诊断后方可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b w:val="0"/>
          <w:bCs w:val="0"/>
          <w:i w:val="0"/>
          <w:iCs w:val="0"/>
          <w:caps w:val="0"/>
          <w:color w:val="333333"/>
          <w:spacing w:val="0"/>
          <w:sz w:val="22"/>
          <w:szCs w:val="2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芜湖市人事考试院联系电话：0553-3991188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0"/>
          <w:szCs w:val="20"/>
        </w:rPr>
      </w:pPr>
      <w:r>
        <w:rPr>
          <w:rFonts w:hint="default" w:ascii="仿宋_GB2312" w:hAnsi="微软雅黑" w:eastAsia="仿宋_GB2312" w:cs="仿宋_GB2312"/>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0"/>
          <w:szCs w:val="20"/>
        </w:rPr>
      </w:pPr>
      <w:r>
        <w:rPr>
          <w:rFonts w:ascii="方正小标宋简体" w:hAnsi="方正小标宋简体" w:eastAsia="方正小标宋简体" w:cs="方正小标宋简体"/>
          <w:i w:val="0"/>
          <w:iCs w:val="0"/>
          <w:caps w:val="0"/>
          <w:color w:val="333333"/>
          <w:spacing w:val="0"/>
          <w:kern w:val="0"/>
          <w:sz w:val="36"/>
          <w:szCs w:val="36"/>
          <w:bdr w:val="none" w:color="auto" w:sz="0" w:space="0"/>
          <w:shd w:val="clear" w:fill="FFFFFF"/>
          <w:lang w:val="en-US" w:eastAsia="zh-CN" w:bidi="ar"/>
        </w:rPr>
        <w:t>芜湖市</w:t>
      </w:r>
      <w:r>
        <w:rPr>
          <w:rFonts w:hint="default" w:ascii="方正小标宋简体" w:hAnsi="方正小标宋简体" w:eastAsia="方正小标宋简体" w:cs="方正小标宋简体"/>
          <w:i w:val="0"/>
          <w:iCs w:val="0"/>
          <w:caps w:val="0"/>
          <w:color w:val="333333"/>
          <w:spacing w:val="0"/>
          <w:kern w:val="0"/>
          <w:sz w:val="36"/>
          <w:szCs w:val="36"/>
          <w:bdr w:val="none" w:color="auto" w:sz="0" w:space="0"/>
          <w:shd w:val="clear" w:fill="FFFFFF"/>
          <w:lang w:val="en-US" w:eastAsia="zh-CN" w:bidi="ar"/>
        </w:rPr>
        <w:t>人社局2021年度事业单位公开招聘工作人员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0"/>
          <w:szCs w:val="20"/>
        </w:rPr>
      </w:pPr>
      <w:r>
        <w:rPr>
          <w:rFonts w:hint="default" w:ascii="方正小标宋简体" w:hAnsi="方正小标宋简体" w:eastAsia="方正小标宋简体" w:cs="方正小标宋简体"/>
          <w:i w:val="0"/>
          <w:iCs w:val="0"/>
          <w:caps w:val="0"/>
          <w:color w:val="333333"/>
          <w:spacing w:val="0"/>
          <w:kern w:val="0"/>
          <w:sz w:val="36"/>
          <w:szCs w:val="36"/>
          <w:bdr w:val="none" w:color="auto" w:sz="0" w:space="0"/>
          <w:shd w:val="clear" w:fill="FFFFFF"/>
          <w:lang w:val="en-US" w:eastAsia="zh-CN" w:bidi="ar"/>
        </w:rPr>
        <w:t>递补入围资格复审人员名单</w:t>
      </w:r>
    </w:p>
    <w:tbl>
      <w:tblPr>
        <w:tblW w:w="9096" w:type="dxa"/>
        <w:jc w:val="center"/>
        <w:shd w:val="clear"/>
        <w:tblLayout w:type="autofit"/>
        <w:tblCellMar>
          <w:top w:w="0" w:type="dxa"/>
          <w:left w:w="0" w:type="dxa"/>
          <w:bottom w:w="0" w:type="dxa"/>
          <w:right w:w="0" w:type="dxa"/>
        </w:tblCellMar>
      </w:tblPr>
      <w:tblGrid>
        <w:gridCol w:w="726"/>
        <w:gridCol w:w="1770"/>
        <w:gridCol w:w="1194"/>
        <w:gridCol w:w="2045"/>
        <w:gridCol w:w="1035"/>
        <w:gridCol w:w="1125"/>
        <w:gridCol w:w="1201"/>
      </w:tblGrid>
      <w:tr>
        <w:tblPrEx>
          <w:shd w:val="clear"/>
          <w:tblCellMar>
            <w:top w:w="0" w:type="dxa"/>
            <w:left w:w="0" w:type="dxa"/>
            <w:bottom w:w="0" w:type="dxa"/>
            <w:right w:w="0" w:type="dxa"/>
          </w:tblCellMar>
        </w:tblPrEx>
        <w:trPr>
          <w:trHeight w:val="420" w:hRule="atLeast"/>
          <w:jc w:val="center"/>
        </w:trPr>
        <w:tc>
          <w:tcPr>
            <w:tcW w:w="726"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kern w:val="0"/>
                <w:sz w:val="20"/>
                <w:szCs w:val="20"/>
                <w:bdr w:val="none" w:color="auto" w:sz="0" w:space="0"/>
                <w:lang w:val="en-US" w:eastAsia="zh-CN" w:bidi="ar"/>
              </w:rPr>
              <w:t>序号</w:t>
            </w:r>
          </w:p>
        </w:tc>
        <w:tc>
          <w:tcPr>
            <w:tcW w:w="177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kern w:val="0"/>
                <w:sz w:val="20"/>
                <w:szCs w:val="20"/>
                <w:bdr w:val="none" w:color="auto" w:sz="0" w:space="0"/>
                <w:lang w:val="en-US" w:eastAsia="zh-CN" w:bidi="ar"/>
              </w:rPr>
              <w:t>招聘单位</w:t>
            </w:r>
          </w:p>
        </w:tc>
        <w:tc>
          <w:tcPr>
            <w:tcW w:w="1194"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kern w:val="0"/>
                <w:sz w:val="20"/>
                <w:szCs w:val="20"/>
                <w:bdr w:val="none" w:color="auto" w:sz="0" w:space="0"/>
                <w:lang w:val="en-US" w:eastAsia="zh-CN" w:bidi="ar"/>
              </w:rPr>
              <w:t>岗位代码</w:t>
            </w:r>
          </w:p>
        </w:tc>
        <w:tc>
          <w:tcPr>
            <w:tcW w:w="204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kern w:val="0"/>
                <w:sz w:val="20"/>
                <w:szCs w:val="20"/>
                <w:bdr w:val="none" w:color="auto" w:sz="0" w:space="0"/>
                <w:lang w:val="en-US" w:eastAsia="zh-CN" w:bidi="ar"/>
              </w:rPr>
              <w:t>准考证号</w:t>
            </w:r>
          </w:p>
        </w:tc>
        <w:tc>
          <w:tcPr>
            <w:tcW w:w="103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kern w:val="0"/>
                <w:sz w:val="20"/>
                <w:szCs w:val="20"/>
                <w:bdr w:val="none" w:color="auto" w:sz="0" w:space="0"/>
                <w:lang w:val="en-US" w:eastAsia="zh-CN" w:bidi="ar"/>
              </w:rPr>
              <w:t>职业能力倾向测验成绩</w:t>
            </w:r>
          </w:p>
        </w:tc>
        <w:tc>
          <w:tcPr>
            <w:tcW w:w="112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kern w:val="0"/>
                <w:sz w:val="20"/>
                <w:szCs w:val="20"/>
                <w:bdr w:val="none" w:color="auto" w:sz="0" w:space="0"/>
                <w:lang w:val="en-US" w:eastAsia="zh-CN" w:bidi="ar"/>
              </w:rPr>
              <w:t>综合应用能力成绩</w:t>
            </w:r>
          </w:p>
        </w:tc>
        <w:tc>
          <w:tcPr>
            <w:tcW w:w="120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kern w:val="0"/>
                <w:sz w:val="20"/>
                <w:szCs w:val="20"/>
                <w:bdr w:val="none" w:color="auto" w:sz="0" w:space="0"/>
                <w:lang w:val="en-US" w:eastAsia="zh-CN" w:bidi="ar"/>
              </w:rPr>
              <w:t>笔试成绩</w:t>
            </w:r>
          </w:p>
        </w:tc>
      </w:tr>
      <w:tr>
        <w:tblPrEx>
          <w:tblCellMar>
            <w:top w:w="0" w:type="dxa"/>
            <w:left w:w="0" w:type="dxa"/>
            <w:bottom w:w="0" w:type="dxa"/>
            <w:right w:w="0" w:type="dxa"/>
          </w:tblCellMar>
        </w:tblPrEx>
        <w:trPr>
          <w:trHeight w:val="420" w:hRule="atLeast"/>
          <w:jc w:val="center"/>
        </w:trPr>
        <w:tc>
          <w:tcPr>
            <w:tcW w:w="726"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kern w:val="0"/>
                <w:sz w:val="20"/>
                <w:szCs w:val="20"/>
                <w:bdr w:val="none" w:color="auto" w:sz="0" w:space="0"/>
                <w:lang w:val="en-US" w:eastAsia="zh-CN" w:bidi="ar"/>
              </w:rPr>
              <w:t>1</w:t>
            </w:r>
          </w:p>
        </w:tc>
        <w:tc>
          <w:tcPr>
            <w:tcW w:w="177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kern w:val="0"/>
                <w:sz w:val="18"/>
                <w:szCs w:val="18"/>
                <w:bdr w:val="none" w:color="auto" w:sz="0" w:space="0"/>
                <w:lang w:val="en-US" w:eastAsia="zh-CN" w:bidi="ar"/>
              </w:rPr>
              <w:t>市社会保险中心</w:t>
            </w:r>
          </w:p>
        </w:tc>
        <w:tc>
          <w:tcPr>
            <w:tcW w:w="1194" w:type="dxa"/>
            <w:tcBorders>
              <w:top w:val="nil"/>
              <w:left w:val="nil"/>
              <w:bottom w:val="single" w:color="auto" w:sz="8" w:space="0"/>
              <w:right w:val="single" w:color="auto" w:sz="8" w:space="0"/>
            </w:tcBorders>
            <w:shd w:val="clear"/>
            <w:tcMar>
              <w:top w:w="0" w:type="dxa"/>
              <w:left w:w="108" w:type="dxa"/>
              <w:bottom w:w="0" w:type="dxa"/>
              <w:right w:w="108"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ascii="Arial" w:hAnsi="Arial" w:cs="Arial" w:eastAsiaTheme="minorEastAsia"/>
                <w:i w:val="0"/>
                <w:iCs w:val="0"/>
                <w:color w:val="000000"/>
                <w:kern w:val="0"/>
                <w:sz w:val="20"/>
                <w:szCs w:val="20"/>
                <w:bdr w:val="none" w:color="auto" w:sz="0" w:space="0"/>
                <w:lang w:val="en-US" w:eastAsia="zh-CN" w:bidi="ar"/>
              </w:rPr>
              <w:t>1201085</w:t>
            </w:r>
          </w:p>
        </w:tc>
        <w:tc>
          <w:tcPr>
            <w:tcW w:w="2045" w:type="dxa"/>
            <w:tcBorders>
              <w:top w:val="nil"/>
              <w:left w:val="nil"/>
              <w:bottom w:val="single" w:color="auto" w:sz="8" w:space="0"/>
              <w:right w:val="single" w:color="auto" w:sz="8" w:space="0"/>
            </w:tcBorders>
            <w:shd w:val="clear"/>
            <w:tcMar>
              <w:top w:w="0" w:type="dxa"/>
              <w:left w:w="108" w:type="dxa"/>
              <w:bottom w:w="0" w:type="dxa"/>
              <w:right w:w="108"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i w:val="0"/>
                <w:iCs w:val="0"/>
                <w:color w:val="000000"/>
                <w:kern w:val="0"/>
                <w:sz w:val="20"/>
                <w:szCs w:val="20"/>
                <w:bdr w:val="none" w:color="auto" w:sz="0" w:space="0"/>
                <w:lang w:val="en-US" w:eastAsia="zh-CN" w:bidi="ar"/>
              </w:rPr>
              <w:t>2134120701027</w:t>
            </w:r>
          </w:p>
        </w:tc>
        <w:tc>
          <w:tcPr>
            <w:tcW w:w="1035" w:type="dxa"/>
            <w:tcBorders>
              <w:top w:val="nil"/>
              <w:left w:val="nil"/>
              <w:bottom w:val="single" w:color="auto" w:sz="8" w:space="0"/>
              <w:right w:val="single" w:color="auto" w:sz="8" w:space="0"/>
            </w:tcBorders>
            <w:shd w:val="clear"/>
            <w:tcMar>
              <w:top w:w="0" w:type="dxa"/>
              <w:left w:w="108" w:type="dxa"/>
              <w:bottom w:w="0" w:type="dxa"/>
              <w:right w:w="108"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i w:val="0"/>
                <w:iCs w:val="0"/>
                <w:color w:val="000000"/>
                <w:kern w:val="0"/>
                <w:sz w:val="20"/>
                <w:szCs w:val="20"/>
                <w:bdr w:val="none" w:color="auto" w:sz="0" w:space="0"/>
                <w:lang w:val="en-US" w:eastAsia="zh-CN" w:bidi="ar"/>
              </w:rPr>
              <w:t>124</w:t>
            </w:r>
          </w:p>
        </w:tc>
        <w:tc>
          <w:tcPr>
            <w:tcW w:w="1125" w:type="dxa"/>
            <w:tcBorders>
              <w:top w:val="nil"/>
              <w:left w:val="nil"/>
              <w:bottom w:val="single" w:color="auto" w:sz="8" w:space="0"/>
              <w:right w:val="single" w:color="auto" w:sz="8" w:space="0"/>
            </w:tcBorders>
            <w:shd w:val="clear"/>
            <w:tcMar>
              <w:top w:w="0" w:type="dxa"/>
              <w:left w:w="108" w:type="dxa"/>
              <w:bottom w:w="0" w:type="dxa"/>
              <w:right w:w="108"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i w:val="0"/>
                <w:iCs w:val="0"/>
                <w:color w:val="000000"/>
                <w:kern w:val="0"/>
                <w:sz w:val="20"/>
                <w:szCs w:val="20"/>
                <w:bdr w:val="none" w:color="auto" w:sz="0" w:space="0"/>
                <w:lang w:val="en-US" w:eastAsia="zh-CN" w:bidi="ar"/>
              </w:rPr>
              <w:t>100.5</w:t>
            </w:r>
          </w:p>
        </w:tc>
        <w:tc>
          <w:tcPr>
            <w:tcW w:w="1201" w:type="dxa"/>
            <w:tcBorders>
              <w:top w:val="nil"/>
              <w:left w:val="nil"/>
              <w:bottom w:val="single" w:color="auto" w:sz="8" w:space="0"/>
              <w:right w:val="single" w:color="auto" w:sz="8" w:space="0"/>
            </w:tcBorders>
            <w:shd w:val="clear"/>
            <w:tcMar>
              <w:top w:w="0" w:type="dxa"/>
              <w:left w:w="108" w:type="dxa"/>
              <w:bottom w:w="0" w:type="dxa"/>
              <w:right w:w="108"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i w:val="0"/>
                <w:iCs w:val="0"/>
                <w:color w:val="000000"/>
                <w:kern w:val="0"/>
                <w:sz w:val="20"/>
                <w:szCs w:val="20"/>
                <w:bdr w:val="none" w:color="auto" w:sz="0" w:space="0"/>
                <w:lang w:val="en-US" w:eastAsia="zh-CN" w:bidi="ar"/>
              </w:rPr>
              <w:t>224.5</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281CD6"/>
    <w:rsid w:val="0B281C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2021-08-27T11:55:00Z</dcterms:created>
  <dc:creator>WPS_1609033458</dc:creator>
  <cp:lastModifiedBy>WPS_1609033458</cp:lastModifiedBy>
  <dcterms:modified xsi:type="dcterms:W3CDTF">2021-08-27T11:55:27Z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61E5A77F5DFC4AD6A648A88BDA5C5F14</vt:lpwstr>
  </property>
</Properties>
</file>