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53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仿宋" w:hAnsi="仿宋" w:eastAsia="仿宋" w:cs="仿宋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附件</w:t>
      </w:r>
      <w:r>
        <w:rPr>
          <w:rFonts w:hint="eastAsia" w:ascii="仿宋" w:hAnsi="仿宋" w:eastAsia="仿宋" w:cs="仿宋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1：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黑体" w:hAnsi="宋体" w:eastAsia="黑体" w:cs="黑体"/>
          <w:b w:val="0"/>
          <w:i w:val="0"/>
          <w:kern w:val="2"/>
          <w:sz w:val="28"/>
          <w:szCs w:val="28"/>
          <w:bdr w:val="none" w:color="auto" w:sz="0" w:space="0"/>
          <w:lang w:val="en-US" w:eastAsia="zh-CN" w:bidi="ar"/>
        </w:rPr>
        <w:t>宜章县</w:t>
      </w:r>
      <w:r>
        <w:rPr>
          <w:rFonts w:hint="eastAsia" w:ascii="黑体" w:hAnsi="宋体" w:eastAsia="黑体" w:cs="黑体"/>
          <w:b w:val="0"/>
          <w:i w:val="0"/>
          <w:kern w:val="2"/>
          <w:sz w:val="28"/>
          <w:szCs w:val="28"/>
          <w:bdr w:val="none" w:color="auto" w:sz="0" w:space="0"/>
          <w:lang w:val="en-US" w:eastAsia="zh-CN" w:bidi="ar"/>
        </w:rPr>
        <w:t>2021年事业单位公开招聘高层次人才和急需紧缺人才体检结果公示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tbl>
      <w:tblPr>
        <w:tblW w:w="9297" w:type="dxa"/>
        <w:tblInd w:w="-352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3130"/>
        <w:gridCol w:w="2016"/>
        <w:gridCol w:w="1595"/>
        <w:gridCol w:w="842"/>
        <w:gridCol w:w="11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宜章县疾病预防控制中心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21072400101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21072400103 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21072400104 </w:t>
            </w: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宜章县网络安全和舆情监测中心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网络安全及网络舆情监测、处置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21072400107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宜章县城市管理综合调度中心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专业技术人员1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21072400108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宜章县城市管理综合调度中心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专业技术人员2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21072400114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21072400115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体检放弃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21072400120 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21072400117 </w:t>
            </w: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资源环境与城乡规划管理专业技术人员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21072400123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21072400126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宜章县疾病预防控制中心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21072400205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宜章县劳动人事争议仲裁院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仲裁员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21072400206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宜章县投融资服务中心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21072400220 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宜章县投融资服务中心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21072400222 </w:t>
            </w: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计算机审计人员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21072400224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宜章县应急广播中心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21072400229 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21072400303 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体检放弃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21072400314 </w:t>
            </w: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体检放弃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21072400318 </w:t>
            </w: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体检合格</w:t>
            </w:r>
          </w:p>
        </w:tc>
      </w:tr>
    </w:tbl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>附件2：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宜章县2021年事业单位公开招聘高层次人才和急需紧缺人才递补体检人员名单</w:t>
      </w:r>
    </w:p>
    <w:tbl>
      <w:tblPr>
        <w:tblW w:w="10237" w:type="dxa"/>
        <w:tblInd w:w="136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1458"/>
        <w:gridCol w:w="1359"/>
        <w:gridCol w:w="2191"/>
        <w:gridCol w:w="1284"/>
        <w:gridCol w:w="1374"/>
        <w:gridCol w:w="827"/>
        <w:gridCol w:w="11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  名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2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3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综合成绩排名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蔡素臻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21072400323</w:t>
            </w:r>
          </w:p>
        </w:tc>
        <w:tc>
          <w:tcPr>
            <w:tcW w:w="2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374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朱欢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21072400320</w:t>
            </w:r>
          </w:p>
        </w:tc>
        <w:tc>
          <w:tcPr>
            <w:tcW w:w="2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374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</w:tbl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20" w:lineRule="exac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hint="default"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70B55"/>
    <w:rsid w:val="1B87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rFonts w:ascii="微软雅黑" w:hAnsi="微软雅黑" w:eastAsia="微软雅黑" w:cs="微软雅黑"/>
    </w:rPr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n5"/>
    <w:basedOn w:val="3"/>
    <w:uiPriority w:val="0"/>
  </w:style>
  <w:style w:type="character" w:customStyle="1" w:styleId="8">
    <w:name w:val="hover29"/>
    <w:basedOn w:val="3"/>
    <w:uiPriority w:val="0"/>
    <w:rPr>
      <w:color w:val="000000"/>
      <w:shd w:val="clear" w:fill="FFFFFF"/>
    </w:rPr>
  </w:style>
  <w:style w:type="character" w:customStyle="1" w:styleId="9">
    <w:name w:val="bsharetext"/>
    <w:basedOn w:val="3"/>
    <w:uiPriority w:val="0"/>
  </w:style>
  <w:style w:type="character" w:customStyle="1" w:styleId="10">
    <w:name w:val="a3"/>
    <w:basedOn w:val="3"/>
    <w:uiPriority w:val="0"/>
    <w:rPr>
      <w:bdr w:val="none" w:color="auto" w:sz="0" w:space="0"/>
    </w:rPr>
  </w:style>
  <w:style w:type="character" w:customStyle="1" w:styleId="11">
    <w:name w:val="a2"/>
    <w:basedOn w:val="3"/>
    <w:uiPriority w:val="0"/>
    <w:rPr>
      <w:bdr w:val="none" w:color="auto" w:sz="0" w:space="0"/>
    </w:rPr>
  </w:style>
  <w:style w:type="character" w:customStyle="1" w:styleId="12">
    <w:name w:val="a1"/>
    <w:basedOn w:val="3"/>
    <w:uiPriority w:val="0"/>
    <w:rPr>
      <w:bdr w:val="none" w:color="auto" w:sz="0" w:space="0"/>
    </w:rPr>
  </w:style>
  <w:style w:type="character" w:customStyle="1" w:styleId="13">
    <w:name w:val="line"/>
    <w:basedOn w:val="3"/>
    <w:uiPriority w:val="0"/>
  </w:style>
  <w:style w:type="character" w:customStyle="1" w:styleId="14">
    <w:name w:val="line1"/>
    <w:basedOn w:val="3"/>
    <w:uiPriority w:val="0"/>
  </w:style>
  <w:style w:type="character" w:customStyle="1" w:styleId="15">
    <w:name w:val="n3"/>
    <w:basedOn w:val="3"/>
    <w:uiPriority w:val="0"/>
  </w:style>
  <w:style w:type="character" w:customStyle="1" w:styleId="16">
    <w:name w:val="n4"/>
    <w:basedOn w:val="3"/>
    <w:uiPriority w:val="0"/>
  </w:style>
  <w:style w:type="character" w:customStyle="1" w:styleId="17">
    <w:name w:val="wx-space"/>
    <w:basedOn w:val="3"/>
    <w:uiPriority w:val="0"/>
  </w:style>
  <w:style w:type="character" w:customStyle="1" w:styleId="18">
    <w:name w:val="wx-space1"/>
    <w:basedOn w:val="3"/>
    <w:uiPriority w:val="0"/>
  </w:style>
  <w:style w:type="character" w:customStyle="1" w:styleId="19">
    <w:name w:val="a4"/>
    <w:basedOn w:val="3"/>
    <w:uiPriority w:val="0"/>
    <w:rPr>
      <w:bdr w:val="none" w:color="auto" w:sz="0" w:space="0"/>
    </w:rPr>
  </w:style>
  <w:style w:type="character" w:customStyle="1" w:styleId="20">
    <w:name w:val="n2"/>
    <w:basedOn w:val="3"/>
    <w:uiPriority w:val="0"/>
  </w:style>
  <w:style w:type="character" w:customStyle="1" w:styleId="21">
    <w:name w:val="n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2021-08-05T08:56:00Z</dcterms:created>
  <dc:creator>ぺ灬cc果冻ル</dc:creator>
  <cp:lastModifiedBy>ぺ灬cc果冻ル</cp:lastModifiedBy>
  <dcterms:modified xsi:type="dcterms:W3CDTF">2021-08-05T08:56:49Z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