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jc w:val="center"/>
        <w:rPr>
          <w:rFonts w:ascii="Helvetica" w:hAnsi="Helvetica" w:eastAsia="Helvetica" w:cs="Helvetica"/>
          <w:b/>
          <w:bCs/>
          <w:i w:val="0"/>
          <w:iCs w:val="0"/>
          <w:caps w:val="0"/>
          <w:color w:val="333333"/>
          <w:spacing w:val="0"/>
          <w:sz w:val="28"/>
          <w:szCs w:val="28"/>
        </w:rPr>
      </w:pPr>
      <w:r>
        <w:rPr>
          <w:rFonts w:hint="default" w:ascii="Helvetica" w:hAnsi="Helvetica" w:eastAsia="Helvetica" w:cs="Helvetica"/>
          <w:b/>
          <w:bCs/>
          <w:i w:val="0"/>
          <w:iCs w:val="0"/>
          <w:caps w:val="0"/>
          <w:color w:val="333333"/>
          <w:spacing w:val="0"/>
          <w:sz w:val="28"/>
          <w:szCs w:val="28"/>
          <w:bdr w:val="none" w:color="auto" w:sz="0" w:space="0"/>
          <w:shd w:val="clear" w:fill="FFFFFF"/>
        </w:rPr>
        <w:t>2021年中国（湖南）自由贸易试验区长沙片区管理委员会公开选调工作人员拟选调人员名单</w:t>
      </w:r>
    </w:p>
    <w:p>
      <w:pPr>
        <w:keepNext w:val="0"/>
        <w:keepLines w:val="0"/>
        <w:widowControl/>
        <w:suppressLineNumbers w:val="0"/>
        <w:pBdr>
          <w:top w:val="none" w:color="auto" w:sz="0" w:space="0"/>
          <w:left w:val="none" w:color="auto" w:sz="0" w:space="0"/>
          <w:bottom w:val="single" w:color="E8E8E8" w:sz="4" w:space="0"/>
          <w:right w:val="none" w:color="auto" w:sz="0" w:space="0"/>
        </w:pBdr>
        <w:shd w:val="clear" w:fill="FFFFFF"/>
        <w:spacing w:before="0" w:beforeAutospacing="0" w:after="360" w:afterAutospacing="0" w:line="384" w:lineRule="atLeast"/>
        <w:ind w:left="0" w:right="0" w:firstLine="0"/>
        <w:jc w:val="center"/>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t>来源：市人社局 发布时间：2021-07-20 15:39 字体大小：</w:t>
      </w:r>
      <w:r>
        <w:rPr>
          <w:rFonts w:hint="default" w:ascii="Helvetica" w:hAnsi="Helvetica" w:eastAsia="Helvetica" w:cs="Helvetica"/>
          <w:i w:val="0"/>
          <w:iCs w:val="0"/>
          <w:caps w:val="0"/>
          <w:color w:val="333333"/>
          <w:spacing w:val="0"/>
          <w:sz w:val="16"/>
          <w:szCs w:val="16"/>
          <w:u w:val="none"/>
          <w:bdr w:val="none" w:color="auto" w:sz="0" w:space="0"/>
          <w:shd w:val="clear" w:fill="FFFFFF"/>
        </w:rPr>
        <w:drawing>
          <wp:inline distT="0" distB="0" distL="114300" distR="114300">
            <wp:extent cx="180975" cy="180975"/>
            <wp:effectExtent l="0" t="0" r="1905" b="1905"/>
            <wp:docPr id="1" name="图片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180975" cy="1809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16"/>
          <w:szCs w:val="16"/>
          <w:u w:val="none"/>
          <w:bdr w:val="none" w:color="auto" w:sz="0" w:space="0"/>
          <w:shd w:val="clear" w:fill="FFFFFF"/>
        </w:rPr>
        <w:drawing>
          <wp:inline distT="0" distB="0" distL="114300" distR="114300">
            <wp:extent cx="180975" cy="180975"/>
            <wp:effectExtent l="0" t="0" r="1905" b="1905"/>
            <wp:docPr id="2" name="图片 2" descr="IMG_257">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180975" cy="1809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16"/>
          <w:szCs w:val="16"/>
          <w:u w:val="none"/>
          <w:bdr w:val="none" w:color="auto" w:sz="0" w:space="0"/>
          <w:shd w:val="clear" w:fill="FFFFFF"/>
        </w:rPr>
        <w:drawing>
          <wp:inline distT="0" distB="0" distL="114300" distR="114300">
            <wp:extent cx="180975" cy="180975"/>
            <wp:effectExtent l="0" t="0" r="1905" b="1905"/>
            <wp:docPr id="3" name="图片 3" descr="IMG_258">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7"/>
                    <a:stretch>
                      <a:fillRect/>
                    </a:stretch>
                  </pic:blipFill>
                  <pic:spPr>
                    <a:xfrm>
                      <a:off x="0" y="0"/>
                      <a:ext cx="180975" cy="1809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textAlignment w:val="center"/>
        <w:rPr>
          <w:rFonts w:ascii="å®‹ä½“" w:hAnsi="å®‹ä½“" w:eastAsia="å®‹ä½“" w:cs="å®‹ä½“"/>
          <w:sz w:val="19"/>
          <w:szCs w:val="19"/>
        </w:rPr>
      </w:pPr>
      <w:r>
        <w:rPr>
          <w:rFonts w:hint="eastAsia" w:ascii="宋体" w:hAnsi="宋体" w:eastAsia="宋体" w:cs="宋体"/>
          <w:i w:val="0"/>
          <w:iCs w:val="0"/>
          <w:caps w:val="0"/>
          <w:color w:val="333333"/>
          <w:spacing w:val="0"/>
          <w:sz w:val="22"/>
          <w:szCs w:val="22"/>
          <w:bdr w:val="none" w:color="auto" w:sz="0" w:space="0"/>
          <w:shd w:val="clear" w:fill="FFFFFF"/>
        </w:rPr>
        <w:t>    中国（湖南）自由贸易试验区长沙片区管理委员会公开选调工作人员，经报名、笔试、资格审查、考核、体检、考察等程序，按照《2021年中国（湖南）自由贸易试验区长沙片区管理委员会公开选调工作人员简章》，拟录取以下13人，现公示如下，公示期为7个工作日。</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04"/>
        <w:gridCol w:w="888"/>
        <w:gridCol w:w="924"/>
        <w:gridCol w:w="552"/>
        <w:gridCol w:w="2208"/>
        <w:gridCol w:w="540"/>
        <w:gridCol w:w="696"/>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0" w:type="dxa"/>
            <w:left w:w="0" w:type="dxa"/>
            <w:bottom w:w="0" w:type="dxa"/>
            <w:right w:w="0" w:type="dxa"/>
          </w:tblCellMar>
        </w:tblPrEx>
        <w:trPr>
          <w:trHeight w:val="301" w:hRule="atLeast"/>
          <w:jc w:val="center"/>
        </w:trPr>
        <w:tc>
          <w:tcPr>
            <w:tcW w:w="504" w:type="dxa"/>
            <w:tcBorders>
              <w:top w:val="single" w:color="000000" w:sz="4" w:space="0"/>
              <w:left w:val="single" w:color="000000" w:sz="4" w:space="0"/>
              <w:bottom w:val="single" w:color="000000" w:sz="4" w:space="0"/>
              <w:right w:val="single" w:color="000000"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Style w:val="6"/>
                <w:rFonts w:hint="eastAsia" w:ascii="宋体" w:hAnsi="宋体" w:eastAsia="宋体" w:cs="宋体"/>
                <w:b/>
                <w:bCs/>
                <w:color w:val="000000"/>
                <w:sz w:val="22"/>
                <w:szCs w:val="22"/>
                <w:bdr w:val="none" w:color="auto" w:sz="0" w:space="0"/>
              </w:rPr>
              <w:t>序号</w:t>
            </w:r>
          </w:p>
        </w:tc>
        <w:tc>
          <w:tcPr>
            <w:tcW w:w="888" w:type="dxa"/>
            <w:tcBorders>
              <w:top w:val="single" w:color="auto" w:sz="4" w:space="0"/>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Style w:val="6"/>
                <w:rFonts w:hint="eastAsia" w:ascii="宋体" w:hAnsi="宋体" w:eastAsia="宋体" w:cs="宋体"/>
                <w:b/>
                <w:bCs/>
                <w:color w:val="000000"/>
                <w:sz w:val="22"/>
                <w:szCs w:val="22"/>
                <w:bdr w:val="none" w:color="auto" w:sz="0" w:space="0"/>
              </w:rPr>
              <w:t>招录单位</w:t>
            </w:r>
          </w:p>
        </w:tc>
        <w:tc>
          <w:tcPr>
            <w:tcW w:w="924" w:type="dxa"/>
            <w:tcBorders>
              <w:top w:val="single" w:color="auto" w:sz="4" w:space="0"/>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Style w:val="6"/>
                <w:rFonts w:hint="eastAsia" w:ascii="宋体" w:hAnsi="宋体" w:eastAsia="宋体" w:cs="宋体"/>
                <w:b/>
                <w:bCs/>
                <w:color w:val="000000"/>
                <w:sz w:val="22"/>
                <w:szCs w:val="22"/>
                <w:bdr w:val="none" w:color="auto" w:sz="0" w:space="0"/>
              </w:rPr>
              <w:t>姓名</w:t>
            </w:r>
          </w:p>
        </w:tc>
        <w:tc>
          <w:tcPr>
            <w:tcW w:w="552" w:type="dxa"/>
            <w:tcBorders>
              <w:top w:val="single" w:color="auto" w:sz="4" w:space="0"/>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Style w:val="6"/>
                <w:rFonts w:hint="eastAsia" w:ascii="宋体" w:hAnsi="宋体" w:eastAsia="宋体" w:cs="宋体"/>
                <w:b/>
                <w:bCs/>
                <w:color w:val="000000"/>
                <w:sz w:val="22"/>
                <w:szCs w:val="22"/>
                <w:bdr w:val="none" w:color="auto" w:sz="0" w:space="0"/>
              </w:rPr>
              <w:t>性别</w:t>
            </w:r>
          </w:p>
        </w:tc>
        <w:tc>
          <w:tcPr>
            <w:tcW w:w="2208" w:type="dxa"/>
            <w:tcBorders>
              <w:top w:val="single" w:color="auto" w:sz="4" w:space="0"/>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Style w:val="6"/>
                <w:rFonts w:hint="eastAsia" w:ascii="宋体" w:hAnsi="宋体" w:eastAsia="宋体" w:cs="宋体"/>
                <w:b/>
                <w:bCs/>
                <w:color w:val="000000"/>
                <w:sz w:val="22"/>
                <w:szCs w:val="22"/>
                <w:bdr w:val="none" w:color="auto" w:sz="0" w:space="0"/>
              </w:rPr>
              <w:t>报考职位</w:t>
            </w:r>
          </w:p>
        </w:tc>
        <w:tc>
          <w:tcPr>
            <w:tcW w:w="540" w:type="dxa"/>
            <w:tcBorders>
              <w:top w:val="single" w:color="auto" w:sz="4" w:space="0"/>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Style w:val="6"/>
                <w:rFonts w:hint="eastAsia" w:ascii="宋体" w:hAnsi="宋体" w:eastAsia="宋体" w:cs="宋体"/>
                <w:b/>
                <w:bCs/>
                <w:color w:val="000000"/>
                <w:sz w:val="22"/>
                <w:szCs w:val="22"/>
                <w:bdr w:val="none" w:color="auto" w:sz="0" w:space="0"/>
              </w:rPr>
              <w:t>排名</w:t>
            </w:r>
          </w:p>
        </w:tc>
        <w:tc>
          <w:tcPr>
            <w:tcW w:w="696" w:type="dxa"/>
            <w:tcBorders>
              <w:top w:val="single" w:color="auto" w:sz="4" w:space="0"/>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Style w:val="6"/>
                <w:rFonts w:hint="eastAsia" w:ascii="宋体" w:hAnsi="宋体" w:eastAsia="宋体" w:cs="宋体"/>
                <w:b/>
                <w:bCs/>
                <w:color w:val="000000"/>
                <w:sz w:val="22"/>
                <w:szCs w:val="22"/>
                <w:bdr w:val="none" w:color="auto" w:sz="0" w:space="0"/>
              </w:rPr>
              <w:t>备注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w:t>
            </w:r>
          </w:p>
        </w:tc>
        <w:tc>
          <w:tcPr>
            <w:tcW w:w="888" w:type="dxa"/>
            <w:vMerge w:val="restart"/>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中国（湖南）自由贸易试验区长沙片区管理委员会</w:t>
            </w: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毛  劢</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女</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自贸区制度创新专干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2</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任丽莎</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女</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自贸区制度创新专干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3</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3</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刘益球</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自贸区制度创新专干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4</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4</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羊惊涛</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自贸区制度创新专干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5</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递补</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5</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陈淮川</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自贸区产业专干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6</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李  瑶</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自贸区产业专干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2</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7</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高晓敏</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color w:val="000000"/>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color w:val="000000"/>
                <w:sz w:val="22"/>
                <w:szCs w:val="22"/>
                <w:bdr w:val="none" w:color="auto" w:sz="0" w:space="0"/>
              </w:rPr>
              <w:t>自贸区产业专干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3</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8</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伍  洋</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女</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法务专干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9</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蒋  良</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统计专干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10</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任  尚</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文字专干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11</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郭呈利</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女</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文字专干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2</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12</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谢  榕</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男</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文字专干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3</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301" w:hRule="atLeast"/>
          <w:jc w:val="center"/>
        </w:trPr>
        <w:tc>
          <w:tcPr>
            <w:tcW w:w="504" w:type="dxa"/>
            <w:tcBorders>
              <w:top w:val="nil"/>
              <w:left w:val="single" w:color="auto" w:sz="4" w:space="0"/>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13</w:t>
            </w:r>
          </w:p>
        </w:tc>
        <w:tc>
          <w:tcPr>
            <w:tcW w:w="888" w:type="dxa"/>
            <w:vMerge w:val="continue"/>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rPr>
                <w:rFonts w:hint="default" w:ascii="å®‹ä½“" w:hAnsi="å®‹ä½“" w:eastAsia="å®‹ä½“" w:cs="å®‹ä½“"/>
                <w:sz w:val="19"/>
                <w:szCs w:val="19"/>
              </w:rPr>
            </w:pPr>
          </w:p>
        </w:tc>
        <w:tc>
          <w:tcPr>
            <w:tcW w:w="924"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周芯仪</w:t>
            </w:r>
          </w:p>
        </w:tc>
        <w:tc>
          <w:tcPr>
            <w:tcW w:w="552"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女</w:t>
            </w:r>
          </w:p>
        </w:tc>
        <w:tc>
          <w:tcPr>
            <w:tcW w:w="2208"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财务专干</w:t>
            </w:r>
          </w:p>
        </w:tc>
        <w:tc>
          <w:tcPr>
            <w:tcW w:w="540"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textAlignment w:val="center"/>
              <w:rPr>
                <w:rFonts w:hint="default" w:ascii="å®‹ä½“" w:hAnsi="å®‹ä½“" w:eastAsia="å®‹ä½“" w:cs="å®‹ä½“"/>
                <w:sz w:val="19"/>
                <w:szCs w:val="19"/>
              </w:rPr>
            </w:pPr>
            <w:r>
              <w:rPr>
                <w:rFonts w:hint="eastAsia" w:ascii="宋体" w:hAnsi="宋体" w:eastAsia="宋体" w:cs="宋体"/>
                <w:sz w:val="22"/>
                <w:szCs w:val="22"/>
                <w:bdr w:val="none" w:color="auto" w:sz="0" w:space="0"/>
              </w:rPr>
              <w:t>1</w:t>
            </w:r>
          </w:p>
        </w:tc>
        <w:tc>
          <w:tcPr>
            <w:tcW w:w="696" w:type="dxa"/>
            <w:tcBorders>
              <w:top w:val="nil"/>
              <w:left w:val="nil"/>
              <w:bottom w:val="single" w:color="auto" w:sz="4" w:space="0"/>
              <w:right w:val="single" w:color="auto"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line="24" w:lineRule="atLeast"/>
              <w:ind w:left="0" w:right="0"/>
              <w:jc w:val="left"/>
              <w:rPr>
                <w:rFonts w:hint="default" w:ascii="å®‹ä½“" w:hAnsi="å®‹ä½“" w:eastAsia="å®‹ä½“" w:cs="å®‹ä½“"/>
                <w:sz w:val="19"/>
                <w:szCs w:val="19"/>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textAlignment w:val="center"/>
        <w:rPr>
          <w:rFonts w:hint="default" w:ascii="å®‹ä½“" w:hAnsi="å®‹ä½“" w:eastAsia="å®‹ä½“" w:cs="å®‹ä½“"/>
          <w:sz w:val="19"/>
          <w:szCs w:val="19"/>
        </w:rPr>
      </w:pPr>
      <w:r>
        <w:rPr>
          <w:rStyle w:val="6"/>
          <w:rFonts w:hint="eastAsia" w:ascii="宋体" w:hAnsi="宋体" w:eastAsia="宋体" w:cs="宋体"/>
          <w:b/>
          <w:bCs/>
          <w:i w:val="0"/>
          <w:iCs w:val="0"/>
          <w:caps w:val="0"/>
          <w:color w:val="333333"/>
          <w:spacing w:val="0"/>
          <w:sz w:val="22"/>
          <w:szCs w:val="22"/>
          <w:bdr w:val="none" w:color="auto" w:sz="0" w:space="0"/>
          <w:shd w:val="clear" w:fill="FFFFFF"/>
        </w:rPr>
        <w:t> </w:t>
      </w:r>
    </w:p>
    <w:p>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å®‹ä½“">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B20"/>
    <w:rsid w:val="00265904"/>
    <w:rsid w:val="004E5B20"/>
    <w:rsid w:val="005305B1"/>
    <w:rsid w:val="007300AD"/>
    <w:rsid w:val="00F873C4"/>
    <w:rsid w:val="014950F7"/>
    <w:rsid w:val="3A4A46CE"/>
    <w:rsid w:val="3EC129FC"/>
    <w:rsid w:val="40FE06C6"/>
    <w:rsid w:val="43B704A7"/>
    <w:rsid w:val="450C3F5D"/>
    <w:rsid w:val="463C4811"/>
    <w:rsid w:val="49D42446"/>
    <w:rsid w:val="543F687A"/>
    <w:rsid w:val="604A4799"/>
    <w:rsid w:val="7DC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6">
    <w:name w:val="Strong"/>
    <w:basedOn w:val="5"/>
    <w:qFormat/>
    <w:uiPriority w:val="22"/>
    <w:rPr>
      <w:b/>
    </w:rPr>
  </w:style>
  <w:style w:type="character" w:styleId="7">
    <w:name w:val="Hyperlink"/>
    <w:basedOn w:val="5"/>
    <w:semiHidden/>
    <w:unhideWhenUsed/>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www.changsha.gov.cn/szf/rsxx/zkly/202107/javascript:void(0);"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35</Words>
  <Characters>206</Characters>
  <Lines>1</Lines>
  <Paragraphs>1</Paragraphs>
  <TotalTime>6</TotalTime>
  <ScaleCrop>false</ScaleCrop>
  <LinksUpToDate>false</LinksUpToDate>
  <CharactersWithSpaces>240</CharactersWithSpaces>
  <Application>WPS Office_11.1.0.10667_F1E327BC-269C-435d-A152-05C5408002CA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2018-08-09T03:12:00Z</dcterms:created>
  <dc:creator>Administrator</dc:creator>
  <cp:lastModifiedBy>卜荣荣</cp:lastModifiedBy>
  <cp:lastPrinted>2018-08-09T03:12:00Z</cp:lastPrinted>
  <dcterms:modified xsi:type="dcterms:W3CDTF">2021-07-20T10:14:01Z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82CBE3A4365743A286B71FEE017547BD</vt:lpwstr>
  </property>
</Properties>
</file>