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600" w:beforeAutospacing="0" w:after="360" w:afterAutospacing="0" w:line="18" w:lineRule="atLeast"/>
        <w:ind w:left="180" w:right="180"/>
        <w:jc w:val="center"/>
        <w:rPr>
          <w:rFonts w:ascii="微软雅黑" w:hAnsi="微软雅黑" w:eastAsia="微软雅黑" w:cs="微软雅黑"/>
          <w:color w:val="333333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33"/>
          <w:szCs w:val="33"/>
          <w:lang w:val="en-US" w:eastAsia="zh-CN" w:bidi="ar"/>
        </w:rPr>
        <w:t>关于2021年度福建省发展和改革委员会拟录用人员的公示</w:t>
      </w:r>
    </w:p>
    <w:p>
      <w:pPr>
        <w:keepNext w:val="0"/>
        <w:keepLines w:val="0"/>
        <w:widowControl/>
        <w:suppressLineNumbers w:val="0"/>
        <w:jc w:val="center"/>
        <w:rPr>
          <w:color w:val="999999"/>
          <w:sz w:val="16"/>
          <w:szCs w:val="16"/>
        </w:rPr>
      </w:pPr>
      <w:r>
        <w:rPr>
          <w:rFonts w:ascii="宋体" w:hAnsi="宋体" w:eastAsia="宋体" w:cs="宋体"/>
          <w:color w:val="999999"/>
          <w:kern w:val="0"/>
          <w:sz w:val="16"/>
          <w:szCs w:val="16"/>
          <w:lang w:val="en-US" w:eastAsia="zh-CN" w:bidi="ar"/>
        </w:rPr>
        <w:t>2021-07-16 11:11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80" w:lineRule="atLeast"/>
        <w:ind w:left="180" w:right="18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根据</w:t>
      </w:r>
      <w:bookmarkStart w:id="0" w:name="OLE_LINK6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《中华人民共和国公务员法》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第三十二条规定和《福建省2021年度考试录用公务员公告》有关要求，卢楷等9位同志符合招考职位的报名条件和回避规定，经考试、体检、考察合格，拟录用为福建省发展和改革委员会公务员，现予以公示。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80" w:lineRule="atLeast"/>
        <w:ind w:left="180" w:right="18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公示期间，若有疑议，欢迎以来电、来信、来访的形式及时反映情况。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80" w:lineRule="atLeast"/>
        <w:ind w:left="180" w:right="18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公示期：2021年7月16日至7月23日（五个工作日）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80" w:lineRule="atLeast"/>
        <w:ind w:left="180" w:right="18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监督电话：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80" w:lineRule="atLeast"/>
        <w:ind w:left="180" w:right="18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省公务员考录主管部门电话0591-87836387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80" w:lineRule="atLeast"/>
        <w:ind w:left="180" w:right="18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EFEFE"/>
          <w:lang w:val="en-US" w:eastAsia="zh-CN" w:bidi="ar"/>
        </w:rPr>
        <w:t>省发展和改革委员会人事处电话0591-87063461</w:t>
      </w:r>
    </w:p>
    <w:tbl>
      <w:tblPr>
        <w:tblpPr w:vertAnchor="text" w:tblpXSpec="left"/>
        <w:tblW w:w="0" w:type="auto"/>
        <w:tblInd w:w="0" w:type="dxa"/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568"/>
        <w:gridCol w:w="1534"/>
        <w:gridCol w:w="788"/>
        <w:gridCol w:w="456"/>
        <w:gridCol w:w="1800"/>
        <w:gridCol w:w="1388"/>
        <w:gridCol w:w="1070"/>
      </w:tblGrid>
      <w:tr>
        <w:tblPrEx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3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11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福建省发展和改革委员会（00055）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机关处室（01）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卢楷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110005501031284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兰州大学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兰州大学</w:t>
            </w:r>
          </w:p>
        </w:tc>
        <w:tc>
          <w:tcPr>
            <w:tcW w:w="11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福建省发展和改革委员会（00055）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机关处室（01）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吴宇琳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110005501234957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英国华威大学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国泰君安证券股份有限公司福建分公司</w:t>
            </w:r>
          </w:p>
        </w:tc>
        <w:tc>
          <w:tcPr>
            <w:tcW w:w="11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福建省发展和改革委员会（00055）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机关处室（02）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王佳毅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110005502236695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英国伯明翰大学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福州市鼓楼区市场监督管理局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福建省发展和改革委员会（00055）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机关处室（03）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李晓球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110005503434863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南昌师范学院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福建省发展和改革委员会（00055）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机关处室（04）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赵武阳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110005504039158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福州外语外贸学院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福建省发展和改革委员会经济研究室（00144）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经济研究分析（01）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傅晓艺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110014401291863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福建省科学技术信息研究所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福建省发展和改革委员会经济研究室（00144）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经济研究分析（01）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桂李超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110014401096117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爱立信（中国）通信技术有限公司南京分公司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福建省发展和改革委员会经济研究室（00144）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经济研究分析（02）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林秀清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110014402295760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闽侯县自然资源和规划局</w:t>
            </w:r>
          </w:p>
        </w:tc>
        <w:tc>
          <w:tcPr>
            <w:tcW w:w="11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福建省发展和改革委员会经济研究室（00144）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经济研究分析（02）</w:t>
            </w:r>
          </w:p>
        </w:tc>
        <w:tc>
          <w:tcPr>
            <w:tcW w:w="8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吴俊媛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210014403094297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莆田市委党校、莆田市行政学院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hd w:val="clear" w:fill="FEFEFE"/>
        <w:spacing w:before="240" w:beforeAutospacing="0" w:after="240" w:afterAutospacing="0" w:line="520" w:lineRule="atLeast"/>
        <w:ind w:left="180" w:right="18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F1F1F1" w:sz="4" w:space="12"/>
        </w:pBdr>
        <w:spacing w:before="240" w:beforeAutospacing="0" w:after="240" w:afterAutospacing="0"/>
        <w:ind w:left="180" w:right="180"/>
        <w:jc w:val="left"/>
      </w:pPr>
    </w:p>
    <w:p>
      <w:bookmarkStart w:id="1" w:name="_GoBack"/>
      <w:bookmarkEnd w:id="1"/>
    </w:p>
    <w:sectPr>
      <w:footerReference r:id="rId3" w:type="default"/>
      <w:footerReference r:id="rId4" w:type="even"/>
      <w:pgSz w:w="11906" w:h="16838"/>
      <w:pgMar w:top="1478" w:right="1474" w:bottom="1080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tZlUyAgAAY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vW1mV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HPF6w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xzxes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C8"/>
    <w:rsid w:val="00010357"/>
    <w:rsid w:val="000250D5"/>
    <w:rsid w:val="00055F0E"/>
    <w:rsid w:val="000917C9"/>
    <w:rsid w:val="00111F3F"/>
    <w:rsid w:val="0014643C"/>
    <w:rsid w:val="00160ECF"/>
    <w:rsid w:val="001E40D1"/>
    <w:rsid w:val="00304BC8"/>
    <w:rsid w:val="00431333"/>
    <w:rsid w:val="00467837"/>
    <w:rsid w:val="00487017"/>
    <w:rsid w:val="00495661"/>
    <w:rsid w:val="004D009C"/>
    <w:rsid w:val="004F66E8"/>
    <w:rsid w:val="0058000E"/>
    <w:rsid w:val="005919B0"/>
    <w:rsid w:val="005A147E"/>
    <w:rsid w:val="006D5E2E"/>
    <w:rsid w:val="00750CEC"/>
    <w:rsid w:val="007D18F3"/>
    <w:rsid w:val="00801022"/>
    <w:rsid w:val="009944E3"/>
    <w:rsid w:val="00AA654F"/>
    <w:rsid w:val="00B43CDB"/>
    <w:rsid w:val="00E37CF2"/>
    <w:rsid w:val="00EE5C08"/>
    <w:rsid w:val="00F2749D"/>
    <w:rsid w:val="00F47776"/>
    <w:rsid w:val="043707EC"/>
    <w:rsid w:val="27F31DE2"/>
    <w:rsid w:val="2A806FDA"/>
    <w:rsid w:val="57B176A3"/>
    <w:rsid w:val="66A31E99"/>
    <w:rsid w:val="671D2612"/>
    <w:rsid w:val="6A9D725C"/>
    <w:rsid w:val="7D5F1D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none"/>
    </w:rPr>
  </w:style>
  <w:style w:type="character" w:styleId="8">
    <w:name w:val="Emphasis"/>
    <w:basedOn w:val="6"/>
    <w:qFormat/>
    <w:uiPriority w:val="20"/>
  </w:style>
  <w:style w:type="character" w:styleId="9">
    <w:name w:val="Hyperlink"/>
    <w:basedOn w:val="6"/>
    <w:semiHidden/>
    <w:unhideWhenUsed/>
    <w:qFormat/>
    <w:uiPriority w:val="99"/>
    <w:rPr>
      <w:color w:val="0000FF"/>
      <w:u w:val="none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disabled"/>
    <w:basedOn w:val="6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610</Characters>
  <Lines>5</Lines>
  <Paragraphs>1</Paragraphs>
  <TotalTime>0</TotalTime>
  <ScaleCrop>false</ScaleCrop>
  <LinksUpToDate>false</LinksUpToDate>
  <CharactersWithSpaces>715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2021-04-22T08:00:00Z</dcterms:created>
  <dc:creator>nj</dc:creator>
  <cp:lastModifiedBy>卜荣荣</cp:lastModifiedBy>
  <cp:lastPrinted>2021-05-21T00:47:00Z</cp:lastPrinted>
  <dcterms:modified xsi:type="dcterms:W3CDTF">2021-07-16T06:22:36Z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CC743CB686D342BD8D4BFBA63F94BF2A</vt:lpwstr>
  </property>
</Properties>
</file>