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2021年度赤峰市巴林左旗事业单位公开招聘工作人员第一阶段报名资格初审工作已结束，因个别岗位无审核通过人员，按照《2021年度赤峰市巴林左旗事业单位公开招聘工作人员简章》相关要求，现取消“辽上京博物馆岗位1”和“富河镇综合保障和技术推广中心岗位1”关于“项目人员”的条件限制（其他条件不变），组织开展第二阶段报名工作。</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变更属性岗位：</w:t>
      </w:r>
    </w:p>
    <w:tbl>
      <w:tblPr>
        <w:tblW w:w="844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3960"/>
        <w:gridCol w:w="2115"/>
        <w:gridCol w:w="2355"/>
        <w:gridCol w:w="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PrEx>
        <w:trPr>
          <w:trHeight w:val="720" w:hRule="atLeast"/>
        </w:trPr>
        <w:tc>
          <w:tcPr>
            <w:tcW w:w="3960" w:type="dxa"/>
            <w:vMerge w:val="restart"/>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招聘单位</w:t>
            </w:r>
          </w:p>
        </w:tc>
        <w:tc>
          <w:tcPr>
            <w:tcW w:w="2115" w:type="dxa"/>
            <w:vMerge w:val="restart"/>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岗位名称</w:t>
            </w:r>
          </w:p>
        </w:tc>
        <w:tc>
          <w:tcPr>
            <w:tcW w:w="2355" w:type="dxa"/>
            <w:vMerge w:val="restart"/>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招聘人数</w:t>
            </w:r>
          </w:p>
        </w:tc>
        <w:tc>
          <w:tcPr>
            <w:tcW w:w="6"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16" w:hRule="atLeast"/>
        </w:trPr>
        <w:tc>
          <w:tcPr>
            <w:tcW w:w="3960" w:type="dxa"/>
            <w:vMerge w:val="continue"/>
            <w:tcBorders>
              <w:top w:val="single" w:color="000000" w:sz="6" w:space="0"/>
              <w:left w:val="single" w:color="000000" w:sz="6" w:space="0"/>
              <w:bottom w:val="single" w:color="000000" w:sz="6" w:space="0"/>
              <w:right w:val="single" w:color="000000" w:sz="6" w:space="0"/>
            </w:tcBorders>
            <w:shd w:val="clear" w:color="auto" w:fill="FFFFFF"/>
            <w:tcMar>
              <w:left w:w="105" w:type="dxa"/>
              <w:right w:w="105" w:type="dxa"/>
            </w:tcMar>
            <w:vAlign w:val="center"/>
          </w:tcPr>
          <w:p>
            <w:pPr>
              <w:rPr>
                <w:rFonts w:hint="eastAsia" w:ascii="宋体" w:hAnsi="宋体" w:eastAsia="宋体" w:cs="宋体"/>
                <w:i w:val="0"/>
                <w:iCs w:val="0"/>
                <w:caps w:val="0"/>
                <w:color w:val="000000"/>
                <w:spacing w:val="0"/>
                <w:sz w:val="24"/>
                <w:szCs w:val="24"/>
              </w:rPr>
            </w:pPr>
          </w:p>
        </w:tc>
        <w:tc>
          <w:tcPr>
            <w:tcW w:w="2115" w:type="dxa"/>
            <w:vMerge w:val="continue"/>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rPr>
                <w:rFonts w:hint="eastAsia" w:ascii="宋体" w:hAnsi="宋体" w:eastAsia="宋体" w:cs="宋体"/>
                <w:i w:val="0"/>
                <w:iCs w:val="0"/>
                <w:caps w:val="0"/>
                <w:color w:val="000000"/>
                <w:spacing w:val="0"/>
                <w:sz w:val="24"/>
                <w:szCs w:val="24"/>
              </w:rPr>
            </w:pPr>
          </w:p>
        </w:tc>
        <w:tc>
          <w:tcPr>
            <w:tcW w:w="2355" w:type="dxa"/>
            <w:vMerge w:val="continue"/>
            <w:tcBorders>
              <w:top w:val="single" w:color="000000" w:sz="6" w:space="0"/>
              <w:left w:val="nil"/>
              <w:bottom w:val="single" w:color="000000" w:sz="6" w:space="0"/>
              <w:right w:val="single" w:color="000000" w:sz="6" w:space="0"/>
            </w:tcBorders>
            <w:shd w:val="clear" w:color="auto" w:fill="FFFFFF"/>
            <w:tcMar>
              <w:left w:w="105" w:type="dxa"/>
              <w:right w:w="105" w:type="dxa"/>
            </w:tcMar>
            <w:vAlign w:val="center"/>
          </w:tcPr>
          <w:p>
            <w:pPr>
              <w:rPr>
                <w:rFonts w:hint="eastAsia" w:ascii="宋体" w:hAnsi="宋体" w:eastAsia="宋体" w:cs="宋体"/>
                <w:i w:val="0"/>
                <w:iCs w:val="0"/>
                <w:caps w:val="0"/>
                <w:color w:val="000000"/>
                <w:spacing w:val="0"/>
                <w:sz w:val="24"/>
                <w:szCs w:val="24"/>
              </w:rPr>
            </w:pPr>
          </w:p>
        </w:tc>
        <w:tc>
          <w:tcPr>
            <w:tcW w:w="6"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396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辽上京博物馆</w:t>
            </w:r>
          </w:p>
        </w:tc>
        <w:tc>
          <w:tcPr>
            <w:tcW w:w="2115" w:type="dxa"/>
            <w:tcBorders>
              <w:top w:val="nil"/>
              <w:left w:val="nil"/>
              <w:bottom w:val="single" w:color="000000" w:sz="6" w:space="0"/>
              <w:right w:val="single" w:color="000000" w:sz="6" w:space="0"/>
            </w:tcBorders>
            <w:shd w:val="clear" w:color="auto" w:fill="FFFFFF"/>
            <w:noWrap/>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岗位1</w:t>
            </w:r>
          </w:p>
        </w:tc>
        <w:tc>
          <w:tcPr>
            <w:tcW w:w="2355" w:type="dxa"/>
            <w:tcBorders>
              <w:top w:val="nil"/>
              <w:left w:val="nil"/>
              <w:bottom w:val="single" w:color="000000" w:sz="6" w:space="0"/>
              <w:right w:val="single" w:color="000000" w:sz="6" w:space="0"/>
            </w:tcBorders>
            <w:shd w:val="clear" w:color="auto" w:fill="FFFFFF"/>
            <w:noWrap/>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1</w:t>
            </w:r>
          </w:p>
        </w:tc>
        <w:tc>
          <w:tcPr>
            <w:tcW w:w="6"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iCs w:val="0"/>
                <w:caps w:val="0"/>
                <w:color w:val="00000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20" w:hRule="atLeast"/>
        </w:trPr>
        <w:tc>
          <w:tcPr>
            <w:tcW w:w="3960" w:type="dxa"/>
            <w:tcBorders>
              <w:top w:val="nil"/>
              <w:left w:val="single" w:color="000000" w:sz="6" w:space="0"/>
              <w:bottom w:val="single" w:color="000000" w:sz="6" w:space="0"/>
              <w:right w:val="single" w:color="000000" w:sz="6" w:space="0"/>
            </w:tcBorders>
            <w:shd w:val="clear" w:color="auto" w:fill="FFFFFF"/>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富河镇综合保障和技术推广中心</w:t>
            </w:r>
          </w:p>
        </w:tc>
        <w:tc>
          <w:tcPr>
            <w:tcW w:w="2115" w:type="dxa"/>
            <w:tcBorders>
              <w:top w:val="nil"/>
              <w:left w:val="nil"/>
              <w:bottom w:val="single" w:color="000000" w:sz="6" w:space="0"/>
              <w:right w:val="single" w:color="000000" w:sz="6" w:space="0"/>
            </w:tcBorders>
            <w:shd w:val="clear" w:color="auto" w:fill="FFFFFF"/>
            <w:noWrap/>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岗位1</w:t>
            </w:r>
          </w:p>
        </w:tc>
        <w:tc>
          <w:tcPr>
            <w:tcW w:w="2355" w:type="dxa"/>
            <w:tcBorders>
              <w:top w:val="nil"/>
              <w:left w:val="nil"/>
              <w:bottom w:val="single" w:color="000000" w:sz="6" w:space="0"/>
              <w:right w:val="single" w:color="000000" w:sz="6" w:space="0"/>
            </w:tcBorders>
            <w:shd w:val="clear" w:color="auto" w:fill="FFFFFF"/>
            <w:noWrap/>
            <w:tcMar>
              <w:left w:w="105" w:type="dxa"/>
              <w:right w:w="105" w:type="dxa"/>
            </w:tcMar>
            <w:vAlign w:val="center"/>
          </w:tcPr>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105" w:beforeAutospacing="0" w:after="105" w:afterAutospacing="0"/>
              <w:ind w:left="0" w:right="0"/>
            </w:pPr>
            <w:r>
              <w:rPr>
                <w:rFonts w:hint="eastAsia" w:ascii="宋体" w:hAnsi="宋体" w:eastAsia="宋体" w:cs="宋体"/>
                <w:i w:val="0"/>
                <w:iCs w:val="0"/>
                <w:caps w:val="0"/>
                <w:color w:val="000000"/>
                <w:spacing w:val="0"/>
                <w:sz w:val="24"/>
                <w:szCs w:val="24"/>
                <w:bdr w:val="none" w:color="auto" w:sz="0" w:space="0"/>
              </w:rPr>
              <w:t>1</w:t>
            </w:r>
          </w:p>
        </w:tc>
        <w:tc>
          <w:tcPr>
            <w:tcW w:w="6" w:type="dxa"/>
            <w:tcBorders>
              <w:top w:val="nil"/>
              <w:left w:val="nil"/>
              <w:bottom w:val="nil"/>
              <w:right w:val="nil"/>
            </w:tcBorders>
            <w:shd w:val="clear" w:color="auto" w:fill="FFFFFF"/>
            <w:vAlign w:val="center"/>
          </w:tcPr>
          <w:p>
            <w:pPr>
              <w:keepNext w:val="0"/>
              <w:keepLines w:val="0"/>
              <w:widowControl/>
              <w:suppressLineNumbers w:val="0"/>
              <w:ind w:left="0" w:firstLine="0"/>
              <w:jc w:val="left"/>
              <w:rPr>
                <w:rFonts w:hint="eastAsia" w:ascii="宋体" w:hAnsi="宋体" w:eastAsia="宋体" w:cs="宋体"/>
                <w:i w:val="0"/>
                <w:iCs w:val="0"/>
                <w:caps w:val="0"/>
                <w:color w:val="000000"/>
                <w:spacing w:val="0"/>
                <w:sz w:val="24"/>
                <w:szCs w:val="24"/>
              </w:rPr>
            </w:pPr>
          </w:p>
        </w:tc>
      </w:tr>
    </w:tbl>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第二阶段报名时间：2021年7月14日9:00-7月16日17:00；资格初审截止时间为2021年7月17日17:00。</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left="0" w:right="0" w:firstLine="0"/>
        <w:rPr>
          <w:rFonts w:hint="eastAsia" w:ascii="宋体" w:hAnsi="宋体" w:eastAsia="宋体" w:cs="宋体"/>
          <w:i w:val="0"/>
          <w:iCs w:val="0"/>
          <w:caps w:val="0"/>
          <w:color w:val="000000"/>
          <w:spacing w:val="0"/>
          <w:sz w:val="24"/>
          <w:szCs w:val="24"/>
        </w:rPr>
      </w:pPr>
      <w:r>
        <w:rPr>
          <w:rFonts w:hint="eastAsia" w:ascii="宋体" w:hAnsi="宋体" w:eastAsia="宋体" w:cs="宋体"/>
          <w:i w:val="0"/>
          <w:iCs w:val="0"/>
          <w:caps w:val="0"/>
          <w:color w:val="000000"/>
          <w:spacing w:val="0"/>
          <w:sz w:val="24"/>
          <w:szCs w:val="24"/>
          <w:bdr w:val="none" w:color="auto" w:sz="0" w:space="0"/>
          <w:shd w:val="clear" w:fill="FFFFFF"/>
        </w:rPr>
        <w:t>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left="0" w:right="0" w:firstLine="0"/>
        <w:jc w:val="right"/>
        <w:rPr>
          <w:rFonts w:hint="eastAsia" w:ascii="宋体" w:hAnsi="宋体" w:eastAsia="宋体" w:cs="宋体"/>
          <w:i w:val="0"/>
          <w:iCs w:val="0"/>
          <w:caps w:val="0"/>
          <w:color w:val="000000"/>
          <w:spacing w:val="0"/>
          <w:sz w:val="24"/>
          <w:szCs w:val="24"/>
        </w:rPr>
      </w:pPr>
      <w:r>
        <w:rPr>
          <w:rFonts w:ascii="仿宋" w:hAnsi="仿宋" w:eastAsia="仿宋" w:cs="仿宋"/>
          <w:i w:val="0"/>
          <w:iCs w:val="0"/>
          <w:caps w:val="0"/>
          <w:color w:val="000000"/>
          <w:spacing w:val="0"/>
          <w:sz w:val="31"/>
          <w:szCs w:val="31"/>
          <w:bdr w:val="none" w:color="auto" w:sz="0" w:space="0"/>
          <w:shd w:val="clear" w:fill="FFFFFF"/>
        </w:rPr>
        <w:t>巴林左旗人力资源和社会保障局</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05" w:beforeAutospacing="0" w:after="105" w:afterAutospacing="0"/>
        <w:ind w:left="0" w:right="0" w:firstLine="645"/>
        <w:jc w:val="right"/>
        <w:rPr>
          <w:rFonts w:hint="eastAsia" w:ascii="宋体" w:hAnsi="宋体" w:eastAsia="宋体" w:cs="宋体"/>
          <w:i w:val="0"/>
          <w:iCs w:val="0"/>
          <w:caps w:val="0"/>
          <w:color w:val="000000"/>
          <w:spacing w:val="0"/>
          <w:sz w:val="24"/>
          <w:szCs w:val="24"/>
        </w:rPr>
      </w:pPr>
      <w:r>
        <w:rPr>
          <w:rFonts w:hint="eastAsia" w:ascii="仿宋" w:hAnsi="仿宋" w:eastAsia="仿宋" w:cs="仿宋"/>
          <w:i w:val="0"/>
          <w:iCs w:val="0"/>
          <w:caps w:val="0"/>
          <w:color w:val="000000"/>
          <w:spacing w:val="0"/>
          <w:sz w:val="31"/>
          <w:szCs w:val="31"/>
          <w:bdr w:val="none" w:color="auto" w:sz="0" w:space="0"/>
          <w:shd w:val="clear" w:fill="FFFFFF"/>
        </w:rPr>
        <w:t>                      2021年7月12日</w:t>
      </w:r>
    </w:p>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6896991"/>
      <w:docPartObj>
        <w:docPartGallery w:val="autotext"/>
      </w:docPartObj>
    </w:sdtPr>
    <w:sdtContent>
      <w:sdt>
        <w:sdtPr>
          <w:id w:val="-1669238322"/>
          <w:docPartObj>
            <w:docPartGallery w:val="autotext"/>
          </w:docPartObj>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5C2B"/>
    <w:rsid w:val="0000407D"/>
    <w:rsid w:val="00011FD4"/>
    <w:rsid w:val="00036A60"/>
    <w:rsid w:val="000914A2"/>
    <w:rsid w:val="000B5693"/>
    <w:rsid w:val="000E746F"/>
    <w:rsid w:val="00116FAD"/>
    <w:rsid w:val="00123E8F"/>
    <w:rsid w:val="00141C11"/>
    <w:rsid w:val="00195D3A"/>
    <w:rsid w:val="001A301A"/>
    <w:rsid w:val="001A387E"/>
    <w:rsid w:val="001E686D"/>
    <w:rsid w:val="00280E83"/>
    <w:rsid w:val="0028258F"/>
    <w:rsid w:val="002A258B"/>
    <w:rsid w:val="00301BDC"/>
    <w:rsid w:val="003506CC"/>
    <w:rsid w:val="0035550D"/>
    <w:rsid w:val="00370BB8"/>
    <w:rsid w:val="003A25F7"/>
    <w:rsid w:val="00407928"/>
    <w:rsid w:val="00407966"/>
    <w:rsid w:val="00425958"/>
    <w:rsid w:val="00445739"/>
    <w:rsid w:val="004D6483"/>
    <w:rsid w:val="004F41E8"/>
    <w:rsid w:val="005222B7"/>
    <w:rsid w:val="00576259"/>
    <w:rsid w:val="00576A48"/>
    <w:rsid w:val="0058009B"/>
    <w:rsid w:val="005A35DC"/>
    <w:rsid w:val="005B09D6"/>
    <w:rsid w:val="005C5B6F"/>
    <w:rsid w:val="005E1F23"/>
    <w:rsid w:val="005E2610"/>
    <w:rsid w:val="005F5C55"/>
    <w:rsid w:val="00645C2B"/>
    <w:rsid w:val="00663802"/>
    <w:rsid w:val="006B779B"/>
    <w:rsid w:val="00741A52"/>
    <w:rsid w:val="007507DC"/>
    <w:rsid w:val="007C017A"/>
    <w:rsid w:val="008354C5"/>
    <w:rsid w:val="008361CA"/>
    <w:rsid w:val="008527F7"/>
    <w:rsid w:val="00885FFF"/>
    <w:rsid w:val="008C3B23"/>
    <w:rsid w:val="008E09E5"/>
    <w:rsid w:val="008E3AC6"/>
    <w:rsid w:val="00982523"/>
    <w:rsid w:val="009B49AE"/>
    <w:rsid w:val="009C6BDA"/>
    <w:rsid w:val="009D2309"/>
    <w:rsid w:val="009D54A5"/>
    <w:rsid w:val="009F179E"/>
    <w:rsid w:val="00A60A81"/>
    <w:rsid w:val="00A65BD1"/>
    <w:rsid w:val="00A700FD"/>
    <w:rsid w:val="00AB5390"/>
    <w:rsid w:val="00AF066F"/>
    <w:rsid w:val="00AF4EF9"/>
    <w:rsid w:val="00B92745"/>
    <w:rsid w:val="00B95F0F"/>
    <w:rsid w:val="00BE794E"/>
    <w:rsid w:val="00BF1744"/>
    <w:rsid w:val="00BF485B"/>
    <w:rsid w:val="00C768B1"/>
    <w:rsid w:val="00CA4F49"/>
    <w:rsid w:val="00CB1BFF"/>
    <w:rsid w:val="00CB1E45"/>
    <w:rsid w:val="00CB2A19"/>
    <w:rsid w:val="00CC3040"/>
    <w:rsid w:val="00CE25A8"/>
    <w:rsid w:val="00CF3018"/>
    <w:rsid w:val="00D16503"/>
    <w:rsid w:val="00D16EE1"/>
    <w:rsid w:val="00D36FB5"/>
    <w:rsid w:val="00DD08C2"/>
    <w:rsid w:val="00DF494D"/>
    <w:rsid w:val="00E91826"/>
    <w:rsid w:val="00EB16C5"/>
    <w:rsid w:val="00F364D4"/>
    <w:rsid w:val="00F93BDF"/>
    <w:rsid w:val="00FA0546"/>
    <w:rsid w:val="00FE5960"/>
    <w:rsid w:val="00FE5FC3"/>
    <w:rsid w:val="25D747A8"/>
    <w:rsid w:val="55813472"/>
    <w:rsid w:val="741A7655"/>
    <w:rsid w:val="7BBD5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 w:type="character" w:customStyle="1" w:styleId="11">
    <w:name w:val="批注框文本 Char"/>
    <w:basedOn w:val="7"/>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2D19FB-ECFA-49BF-8F9E-831D61FD151D}">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67</Words>
  <Characters>388</Characters>
  <Lines>3</Lines>
  <Paragraphs>1</Paragraphs>
  <TotalTime>157</TotalTime>
  <ScaleCrop>false</ScaleCrop>
  <LinksUpToDate>false</LinksUpToDate>
  <CharactersWithSpaces>454</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2018-04-25T11:58:00Z</dcterms:created>
  <dc:creator>微软用户</dc:creator>
  <cp:lastModifiedBy>猪笨笨@</cp:lastModifiedBy>
  <cp:lastPrinted>2021-06-01T14:23:00Z</cp:lastPrinted>
  <dcterms:modified xsi:type="dcterms:W3CDTF">2021-07-12T02:53:04Z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12FC7ECA8DE84393AD14F9E8E8CCCD43</vt:lpwstr>
  </property>
</Properties>
</file>