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85" w:lineRule="atLeast"/>
        <w:ind w:left="0" w:right="0" w:firstLine="645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</w:t>
      </w: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2021年度蚌埠市残疾人康复中心公开招聘工作人员计划表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1"/>
        <w:gridCol w:w="407"/>
        <w:gridCol w:w="800"/>
        <w:gridCol w:w="391"/>
        <w:gridCol w:w="407"/>
        <w:gridCol w:w="407"/>
        <w:gridCol w:w="407"/>
        <w:gridCol w:w="1489"/>
        <w:gridCol w:w="407"/>
        <w:gridCol w:w="407"/>
        <w:gridCol w:w="407"/>
        <w:gridCol w:w="603"/>
        <w:gridCol w:w="603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70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885" w:type="dxa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职位名称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招考计划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主管部门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单位类别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专业及代码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学位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年龄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条件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公共科目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管理岗位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210901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蚌埠市残疾人联合会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蚌埠市残疾人康复中心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公益一类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本科：会计学（120203K）、财务管理（120204）；研究生：会计学（120201）、会计（1253）、企业管理（财务管理方向）（120202）。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学士及以上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具有会计初级及以上专业技术资格。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《职业能力倾向测验》和《综合应用能力》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0552-3822288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A1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2021-07-12T11:53:28Z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4A5A80D76D704BBC82ADFE32F3014092</vt:lpwstr>
  </property>
</Properties>
</file>