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124" w:leftChars="-171" w:hanging="235" w:hangingChars="112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</w:p>
    <w:p>
      <w:pPr>
        <w:spacing w:line="560" w:lineRule="exact"/>
        <w:ind w:left="44" w:leftChars="-171" w:hanging="403" w:hangingChars="112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2021年上半年湘西自治州州直事业单位公开选调工作人员</w:t>
      </w:r>
      <w:r>
        <w:rPr>
          <w:rFonts w:hint="eastAsia" w:ascii="黑体" w:hAnsi="黑体" w:eastAsia="黑体" w:cs="黑体"/>
          <w:sz w:val="36"/>
          <w:szCs w:val="36"/>
        </w:rPr>
        <w:t>面试具体安排表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</w:p>
    <w:tbl>
      <w:tblPr>
        <w:tblStyle w:val="4"/>
        <w:tblW w:w="11115" w:type="dxa"/>
        <w:tblInd w:w="-12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65"/>
        <w:gridCol w:w="480"/>
        <w:gridCol w:w="465"/>
        <w:gridCol w:w="826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4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时间</w:t>
            </w:r>
          </w:p>
        </w:tc>
        <w:tc>
          <w:tcPr>
            <w:tcW w:w="465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考点</w:t>
            </w:r>
          </w:p>
        </w:tc>
        <w:tc>
          <w:tcPr>
            <w:tcW w:w="4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考场</w:t>
            </w:r>
          </w:p>
        </w:tc>
        <w:tc>
          <w:tcPr>
            <w:tcW w:w="46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组序</w:t>
            </w:r>
          </w:p>
        </w:tc>
        <w:tc>
          <w:tcPr>
            <w:tcW w:w="8265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面试</w:t>
            </w:r>
            <w:r>
              <w:rPr>
                <w:rFonts w:hint="eastAsia" w:ascii="黑体" w:eastAsia="黑体"/>
                <w:sz w:val="24"/>
                <w:lang w:eastAsia="zh-CN"/>
              </w:rPr>
              <w:t>岗</w:t>
            </w:r>
            <w:r>
              <w:rPr>
                <w:rFonts w:hint="eastAsia" w:ascii="黑体" w:eastAsia="黑体"/>
                <w:sz w:val="24"/>
              </w:rPr>
              <w:t>位和对象</w:t>
            </w:r>
          </w:p>
        </w:tc>
        <w:tc>
          <w:tcPr>
            <w:tcW w:w="975" w:type="dxa"/>
            <w:vAlign w:val="center"/>
          </w:tcPr>
          <w:p>
            <w:pPr>
              <w:spacing w:line="40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有关要求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7" w:hRule="atLeast"/>
        </w:trPr>
        <w:tc>
          <w:tcPr>
            <w:tcW w:w="46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17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  <w:tc>
          <w:tcPr>
            <w:tcW w:w="46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武陵山大剧院</w:t>
            </w:r>
          </w:p>
        </w:tc>
        <w:tc>
          <w:tcPr>
            <w:tcW w:w="4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组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</w:tc>
        <w:tc>
          <w:tcPr>
            <w:tcW w:w="8265" w:type="dxa"/>
            <w:vAlign w:val="center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州广播电视台播音主持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）、州广播电视台电视摄像制作（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）、州海外联谊服务中心（州统战事务中心）计算机（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）、州海外联谊服务中心（州统战事务中心）综合（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）、州社会治安综合治理中心综合一（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）、州社会治安综合治理中心综合二（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）、州民族青少年发展基金会综合（文字）一（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）、州民族青少年发展基金会综合（文字）二（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）、州大数据中心网站管理（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）、州大数据中心公共平台管理（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）、州公共资源交易中心工程管理（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）、州公共资源交易中心财务管理（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）、州公共资源交易中心监督管理（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）、州公共资源交易中心综合（文字）（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）、州质量检验及计量检定中心综合（宣传）（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）、州质量检验及计量检定中心质量检验（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）、州退役军人服务中心综合（文字）（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）、州军队离休退休干部休养所综合（文字）（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）、州卫星应用技术中心地理信息（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）、州卫星应用技术中心计算机（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）、州卫星应用技术中心综合（文字）</w:t>
            </w:r>
            <w:r>
              <w:rPr>
                <w:rFonts w:hint="eastAsia"/>
                <w:lang w:val="en-US" w:eastAsia="zh-CN"/>
              </w:rPr>
              <w:t>（2）、州地质公园管理处土建（2）、湘西经济开发区不动产登记中心受理员（2）、州机关事务服务中心工程管理（2）、州民族工人文化宫信息管理（2）、州民族工人文化宫综合（文字）（2）。</w:t>
            </w:r>
          </w:p>
          <w:p>
            <w:pPr>
              <w:spacing w:line="32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</w:t>
            </w:r>
            <w:r>
              <w:rPr>
                <w:rFonts w:hint="eastAsia"/>
              </w:rPr>
              <w:t>（共</w:t>
            </w:r>
            <w:r>
              <w:rPr>
                <w:rFonts w:hint="eastAsia"/>
                <w:lang w:val="en-US" w:eastAsia="zh-CN"/>
              </w:rPr>
              <w:t>58</w:t>
            </w:r>
            <w:r>
              <w:rPr>
                <w:rFonts w:hint="eastAsia"/>
              </w:rPr>
              <w:t>人）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/>
                <w:lang w:val="en-US" w:eastAsia="zh-CN"/>
              </w:rPr>
              <w:t>考生须于当日7：30前赶到武陵山大剧院县市会议中心集合报到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63" w:hRule="atLeast"/>
        </w:trPr>
        <w:tc>
          <w:tcPr>
            <w:tcW w:w="46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5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二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组</w:t>
            </w:r>
          </w:p>
        </w:tc>
        <w:tc>
          <w:tcPr>
            <w:tcW w:w="8265" w:type="dxa"/>
            <w:vAlign w:val="center"/>
          </w:tcPr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州投资贸易促进中心商贸数据与化学品分析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）、州投资贸易促进中心综合（文字）（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）、州扶贫开发培训中心农业指导（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）、州扶贫基金会办公室综合（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）、州人事考试院人事考试管理（涉密）（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）、州民族干部培训站综合（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）、州粮食质量监测中心财会（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）、州直属机关党员培训中心综合（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）、州工商联会员服务中心综合（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）、州科学技术事务中心技术研究（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）、州12345政府服务热线呼叫中心综合（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）、州营林管理站综合（文字）（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）、州疾病预防控制中心综合（文字）（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）、州殡葬管理处综合（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）、州社会福利院综合（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）、州荣复医院医学检验（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）、州荣复医院临床医学（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）、州肿瘤医院临床医生一（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）、州肿瘤医院临床医生三（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）、州肿瘤医院临床医生五（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）、州肿瘤医院临床医生六（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）、州肿瘤医院医务质控管理（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  <w:lang w:eastAsia="zh-CN"/>
              </w:rPr>
              <w:t>）、州全民健身服务中心综合（文字）（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）、吉首大学师范学院创建管理（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）、吉首大学师范学院学生管理（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）、吉首大学师范学院项目管理（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）、吉首大学师范学院成教管理（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  <w:lang w:eastAsia="zh-CN"/>
              </w:rPr>
              <w:t>）。</w:t>
            </w: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/>
              </w:rPr>
              <w:t>（共</w:t>
            </w:r>
            <w:r>
              <w:rPr>
                <w:rFonts w:hint="eastAsia"/>
                <w:lang w:val="en-US" w:eastAsia="zh-CN"/>
              </w:rPr>
              <w:t>59</w:t>
            </w:r>
            <w:r>
              <w:rPr>
                <w:rFonts w:hint="eastAsia"/>
              </w:rPr>
              <w:t>人）</w:t>
            </w:r>
          </w:p>
        </w:tc>
        <w:tc>
          <w:tcPr>
            <w:tcW w:w="975" w:type="dxa"/>
            <w:vMerge w:val="continue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80D9A"/>
    <w:rsid w:val="00052E0C"/>
    <w:rsid w:val="000E71AA"/>
    <w:rsid w:val="001320B2"/>
    <w:rsid w:val="00167A0A"/>
    <w:rsid w:val="001B2394"/>
    <w:rsid w:val="002D1608"/>
    <w:rsid w:val="002E642B"/>
    <w:rsid w:val="00361FF9"/>
    <w:rsid w:val="003F1E09"/>
    <w:rsid w:val="004070A1"/>
    <w:rsid w:val="004337BF"/>
    <w:rsid w:val="004372A0"/>
    <w:rsid w:val="004A1DB1"/>
    <w:rsid w:val="004B0CE0"/>
    <w:rsid w:val="00527769"/>
    <w:rsid w:val="005D4A0C"/>
    <w:rsid w:val="0064318C"/>
    <w:rsid w:val="00651379"/>
    <w:rsid w:val="0069112D"/>
    <w:rsid w:val="006F1B6E"/>
    <w:rsid w:val="008379BA"/>
    <w:rsid w:val="00980D9A"/>
    <w:rsid w:val="00984B38"/>
    <w:rsid w:val="009D300F"/>
    <w:rsid w:val="009E269C"/>
    <w:rsid w:val="00B32C5A"/>
    <w:rsid w:val="00B337CE"/>
    <w:rsid w:val="00BC28E8"/>
    <w:rsid w:val="00C46C59"/>
    <w:rsid w:val="00C84657"/>
    <w:rsid w:val="00CE471E"/>
    <w:rsid w:val="00DF2A28"/>
    <w:rsid w:val="00E82DA2"/>
    <w:rsid w:val="00F24EFD"/>
    <w:rsid w:val="00F75013"/>
    <w:rsid w:val="00F93638"/>
    <w:rsid w:val="02E8381C"/>
    <w:rsid w:val="03A718DF"/>
    <w:rsid w:val="03BD63C4"/>
    <w:rsid w:val="05D574B5"/>
    <w:rsid w:val="077B6A6F"/>
    <w:rsid w:val="080F4340"/>
    <w:rsid w:val="091C581B"/>
    <w:rsid w:val="09526289"/>
    <w:rsid w:val="098A7DB8"/>
    <w:rsid w:val="0AB66508"/>
    <w:rsid w:val="0AC810F1"/>
    <w:rsid w:val="0E5A6D54"/>
    <w:rsid w:val="0EE93E8A"/>
    <w:rsid w:val="0F021531"/>
    <w:rsid w:val="10164AA6"/>
    <w:rsid w:val="10DC7E97"/>
    <w:rsid w:val="12AA4C04"/>
    <w:rsid w:val="1305494B"/>
    <w:rsid w:val="131336A3"/>
    <w:rsid w:val="131B28BA"/>
    <w:rsid w:val="133F4EA1"/>
    <w:rsid w:val="14BE766A"/>
    <w:rsid w:val="15382318"/>
    <w:rsid w:val="162E59D9"/>
    <w:rsid w:val="16494620"/>
    <w:rsid w:val="166F6997"/>
    <w:rsid w:val="17202099"/>
    <w:rsid w:val="196467B7"/>
    <w:rsid w:val="19A57112"/>
    <w:rsid w:val="1A507C0A"/>
    <w:rsid w:val="1AA52816"/>
    <w:rsid w:val="1C1F16D7"/>
    <w:rsid w:val="1C394FDB"/>
    <w:rsid w:val="1F5B49B9"/>
    <w:rsid w:val="20E6753A"/>
    <w:rsid w:val="24532140"/>
    <w:rsid w:val="24A479CD"/>
    <w:rsid w:val="25460A6D"/>
    <w:rsid w:val="25640C8F"/>
    <w:rsid w:val="25925F62"/>
    <w:rsid w:val="259B1A01"/>
    <w:rsid w:val="278F200E"/>
    <w:rsid w:val="27E02D71"/>
    <w:rsid w:val="288820DC"/>
    <w:rsid w:val="2891018F"/>
    <w:rsid w:val="29DC4961"/>
    <w:rsid w:val="2B614C81"/>
    <w:rsid w:val="2C702F49"/>
    <w:rsid w:val="2D13248F"/>
    <w:rsid w:val="2E767E2A"/>
    <w:rsid w:val="2E872388"/>
    <w:rsid w:val="2EC17313"/>
    <w:rsid w:val="2F5763F8"/>
    <w:rsid w:val="30205B67"/>
    <w:rsid w:val="30362445"/>
    <w:rsid w:val="31E509B3"/>
    <w:rsid w:val="32DF3400"/>
    <w:rsid w:val="34806FC2"/>
    <w:rsid w:val="3685423C"/>
    <w:rsid w:val="390B7E65"/>
    <w:rsid w:val="397A790B"/>
    <w:rsid w:val="3A5C5B50"/>
    <w:rsid w:val="3B436974"/>
    <w:rsid w:val="3E0D07EF"/>
    <w:rsid w:val="3F8C4C8B"/>
    <w:rsid w:val="3FFD7238"/>
    <w:rsid w:val="428F314E"/>
    <w:rsid w:val="42CA09C1"/>
    <w:rsid w:val="43DE21DC"/>
    <w:rsid w:val="44767C15"/>
    <w:rsid w:val="45D31452"/>
    <w:rsid w:val="463A02DC"/>
    <w:rsid w:val="48474D0D"/>
    <w:rsid w:val="48563AF2"/>
    <w:rsid w:val="49586EBA"/>
    <w:rsid w:val="4B306679"/>
    <w:rsid w:val="4C907166"/>
    <w:rsid w:val="4FEE6E43"/>
    <w:rsid w:val="549064BA"/>
    <w:rsid w:val="54BB294D"/>
    <w:rsid w:val="54D20742"/>
    <w:rsid w:val="55FA7830"/>
    <w:rsid w:val="5657307F"/>
    <w:rsid w:val="57035174"/>
    <w:rsid w:val="58557D65"/>
    <w:rsid w:val="5ABC31D7"/>
    <w:rsid w:val="5AFD490D"/>
    <w:rsid w:val="5E0317FA"/>
    <w:rsid w:val="60B649D1"/>
    <w:rsid w:val="632C0018"/>
    <w:rsid w:val="64F33D1D"/>
    <w:rsid w:val="666A31F2"/>
    <w:rsid w:val="66B32786"/>
    <w:rsid w:val="66DD35EE"/>
    <w:rsid w:val="67357E85"/>
    <w:rsid w:val="687F6ED9"/>
    <w:rsid w:val="68FF7A0A"/>
    <w:rsid w:val="693266B9"/>
    <w:rsid w:val="6A0065AF"/>
    <w:rsid w:val="6BD07A50"/>
    <w:rsid w:val="6C102020"/>
    <w:rsid w:val="6E074A63"/>
    <w:rsid w:val="6E4C6245"/>
    <w:rsid w:val="6EE646CF"/>
    <w:rsid w:val="70C7375B"/>
    <w:rsid w:val="71EE05E9"/>
    <w:rsid w:val="72B13F2B"/>
    <w:rsid w:val="76D97885"/>
    <w:rsid w:val="78097596"/>
    <w:rsid w:val="79D34B8F"/>
    <w:rsid w:val="7A6F1D76"/>
    <w:rsid w:val="7B1D3B04"/>
    <w:rsid w:val="7F665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BD8EC-3DCB-4E51-9B51-66A9315CFD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6</Pages>
  <Words>3852</Words>
  <Characters>333</Characters>
  <Lines>2</Lines>
  <Paragraphs>8</Paragraphs>
  <TotalTime>3</TotalTime>
  <ScaleCrop>false</ScaleCrop>
  <LinksUpToDate>false</LinksUpToDate>
  <CharactersWithSpaces>4177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2018-06-04T02:22:00Z</dcterms:created>
  <dc:creator>Administrator</dc:creator>
  <cp:lastModifiedBy>ぺ灬cc果冻ル</cp:lastModifiedBy>
  <cp:lastPrinted>2021-07-08T02:12:00Z</cp:lastPrinted>
  <dcterms:modified xsi:type="dcterms:W3CDTF">2021-07-10T02:07:44Z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