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975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5"/>
        <w:gridCol w:w="1847"/>
        <w:gridCol w:w="1107"/>
        <w:gridCol w:w="1583"/>
        <w:gridCol w:w="2137"/>
        <w:gridCol w:w="203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  <w:jc w:val="center"/>
        </w:trPr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招聘单位</w:t>
            </w:r>
          </w:p>
        </w:tc>
        <w:tc>
          <w:tcPr>
            <w:tcW w:w="18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岗  位</w:t>
            </w:r>
          </w:p>
        </w:tc>
        <w:tc>
          <w:tcPr>
            <w:tcW w:w="11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姓 名</w:t>
            </w:r>
          </w:p>
        </w:tc>
        <w:tc>
          <w:tcPr>
            <w:tcW w:w="15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学历学位</w:t>
            </w:r>
          </w:p>
        </w:tc>
        <w:tc>
          <w:tcPr>
            <w:tcW w:w="21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专 业</w:t>
            </w:r>
          </w:p>
        </w:tc>
        <w:tc>
          <w:tcPr>
            <w:tcW w:w="20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22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中国自然资源经济研究院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自然资源管理体制研究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王正早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21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人口、资源与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环境经济学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北京师范大学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1" w:hRule="atLeast"/>
          <w:jc w:val="center"/>
        </w:trPr>
        <w:tc>
          <w:tcPr>
            <w:tcW w:w="22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中国自然资源经济研究院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自然资源开发利用研究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周海文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21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农业经济管理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中国人民大学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color w:val="000000"/>
          <w:kern w:val="0"/>
          <w:sz w:val="24"/>
          <w:szCs w:val="24"/>
          <w:lang w:val="en-US" w:eastAsia="zh-CN" w:bidi="ar"/>
        </w:rPr>
        <w:t>资源权益理论与政策研究岗位由于考察对象放弃，取消该岗位此次招聘。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F1A65"/>
    <w:rsid w:val="7B5F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2021-07-07T05:40:00Z</dcterms:created>
  <dc:creator>Administrator</dc:creator>
  <cp:lastModifiedBy>Administrator</cp:lastModifiedBy>
  <dcterms:modified xsi:type="dcterms:W3CDTF">2021-07-07T06:14:06Z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