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ind w:left="0" w:firstLine="0"/>
        <w:rPr>
          <w:rFonts w:ascii="微软雅黑" w:hAnsi="微软雅黑" w:eastAsia="微软雅黑" w:cs="微软雅黑"/>
          <w:i w:val="0"/>
          <w:iCs w:val="0"/>
          <w:caps w:val="0"/>
          <w:color w:val="4884A0"/>
          <w:spacing w:val="0"/>
          <w:sz w:val="14"/>
          <w:szCs w:val="14"/>
        </w:rPr>
      </w:pPr>
      <w:r>
        <w:rPr>
          <w:rFonts w:hint="eastAsia" w:ascii="微软雅黑" w:hAnsi="微软雅黑" w:eastAsia="微软雅黑" w:cs="微软雅黑"/>
          <w:b/>
          <w:bCs/>
          <w:i w:val="0"/>
          <w:iCs w:val="0"/>
          <w:caps w:val="0"/>
          <w:color w:val="4884A0"/>
          <w:spacing w:val="0"/>
          <w:sz w:val="16"/>
          <w:szCs w:val="16"/>
        </w:rPr>
        <w:t> 丁桥院区招聘计划</w:t>
      </w:r>
    </w:p>
    <w:tbl>
      <w:tblPr>
        <w:tblW w:w="10061" w:type="dxa"/>
        <w:tblCellSpacing w:w="0" w:type="dxa"/>
        <w:tblInd w:w="20" w:type="dxa"/>
        <w:shd w:val="clear"/>
        <w:tblLayout w:type="autofit"/>
        <w:tblCellMar>
          <w:top w:w="15" w:type="dxa"/>
          <w:left w:w="15" w:type="dxa"/>
          <w:bottom w:w="15" w:type="dxa"/>
          <w:right w:w="15" w:type="dxa"/>
        </w:tblCellMar>
      </w:tblPr>
      <w:tblGrid>
        <w:gridCol w:w="482"/>
        <w:gridCol w:w="1069"/>
        <w:gridCol w:w="904"/>
        <w:gridCol w:w="497"/>
        <w:gridCol w:w="2560"/>
        <w:gridCol w:w="2440"/>
        <w:gridCol w:w="2109"/>
      </w:tblGrid>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序号</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岗位</w:t>
            </w:r>
          </w:p>
        </w:tc>
        <w:tc>
          <w:tcPr>
            <w:tcW w:w="7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岗位类别及等级</w:t>
            </w: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人数</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专业</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学历（学位）</w:t>
            </w:r>
            <w:r>
              <w:rPr>
                <w:rFonts w:hint="eastAsia" w:ascii="宋体" w:hAnsi="宋体" w:eastAsia="宋体" w:cs="宋体"/>
                <w:i w:val="0"/>
                <w:iCs w:val="0"/>
                <w:caps w:val="0"/>
                <w:color w:val="4884A0"/>
                <w:spacing w:val="0"/>
                <w:kern w:val="0"/>
                <w:sz w:val="20"/>
                <w:szCs w:val="20"/>
                <w:lang w:val="en-US" w:eastAsia="zh-CN" w:bidi="ar"/>
              </w:rPr>
              <w:br w:type="textWrapping"/>
            </w:r>
            <w:r>
              <w:rPr>
                <w:rFonts w:hint="eastAsia" w:ascii="宋体" w:hAnsi="宋体" w:eastAsia="宋体" w:cs="宋体"/>
                <w:i w:val="0"/>
                <w:iCs w:val="0"/>
                <w:caps w:val="0"/>
                <w:color w:val="4884A0"/>
                <w:spacing w:val="0"/>
                <w:kern w:val="0"/>
                <w:sz w:val="20"/>
                <w:szCs w:val="20"/>
                <w:lang w:val="en-US" w:eastAsia="zh-CN" w:bidi="ar"/>
              </w:rPr>
              <w:t>职称</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其他条件</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临床心理科医生</w:t>
            </w:r>
          </w:p>
        </w:tc>
        <w:tc>
          <w:tcPr>
            <w:tcW w:w="720" w:type="dxa"/>
            <w:vMerge w:val="restart"/>
            <w:tcBorders>
              <w:top w:val="nil"/>
              <w:left w:val="nil"/>
              <w:bottom w:val="nil"/>
              <w:right w:val="nil"/>
            </w:tcBorders>
            <w:shd w:val="cle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专业技术</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初级职称：十一级及以下；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br w:type="textWrapping"/>
            </w:r>
            <w:r>
              <w:rPr>
                <w:rFonts w:hint="eastAsia" w:ascii="宋体" w:hAnsi="宋体" w:eastAsia="宋体" w:cs="宋体"/>
                <w:i w:val="0"/>
                <w:iCs w:val="0"/>
                <w:caps w:val="0"/>
                <w:color w:val="4884A0"/>
                <w:spacing w:val="0"/>
                <w:kern w:val="0"/>
                <w:sz w:val="20"/>
                <w:szCs w:val="20"/>
                <w:lang w:val="en-US" w:eastAsia="zh-CN" w:bidi="ar"/>
              </w:rPr>
              <w:t>中级职称：八级及以下；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副高级职称：五级及以下；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 </w:t>
            </w:r>
          </w:p>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iCs w:val="0"/>
                <w:caps w:val="0"/>
                <w:color w:val="4884A0"/>
                <w:spacing w:val="0"/>
                <w:kern w:val="0"/>
                <w:sz w:val="20"/>
                <w:szCs w:val="20"/>
                <w:lang w:val="en-US" w:eastAsia="zh-CN" w:bidi="ar"/>
              </w:rPr>
              <w:t>正高级职称：三级及以下</w:t>
            </w:r>
          </w:p>
          <w:p>
            <w:pPr>
              <w:keepNext w:val="0"/>
              <w:keepLines w:val="0"/>
              <w:widowControl/>
              <w:suppressLineNumbers w:val="0"/>
              <w:spacing w:before="0" w:beforeAutospacing="1" w:after="0" w:afterAutospacing="1"/>
              <w:ind w:left="0" w:right="0"/>
              <w:jc w:val="left"/>
            </w:pPr>
            <w:r>
              <w:rPr>
                <w:rFonts w:hint="eastAsia" w:ascii="宋体" w:hAnsi="宋体" w:eastAsia="宋体" w:cs="宋体"/>
                <w:i w:val="0"/>
                <w:iCs w:val="0"/>
                <w:caps w:val="0"/>
                <w:color w:val="4884A0"/>
                <w:spacing w:val="0"/>
                <w:kern w:val="0"/>
                <w:sz w:val="20"/>
                <w:szCs w:val="20"/>
                <w:lang w:val="en-US" w:eastAsia="zh-CN" w:bidi="ar"/>
              </w:rPr>
              <w:t> </w:t>
            </w: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精神病与精神卫生学、中医内科学（情志病方向）</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博士研究生学历学位</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2021年全日制普通高校应届毕业生</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2</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感染性疾病科医生</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临床医学、内科学、中医内科学、中西医结合临床</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硕士研究生及以上学历学位</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非应届生需具有中级及以上职称且在三级及以上医院从事本专业工作2年及以上</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3</w:t>
            </w:r>
          </w:p>
        </w:tc>
        <w:tc>
          <w:tcPr>
            <w:tcW w:w="85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消化科医生</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中医学、中西医结合临床、内科学、中医内科学</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本科及以上学历学位且副高级及以上职称</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需在三级及以上医院从事本专业工作2年及以上</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4</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重症医学科医生</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临床医学、内科学、急诊医学、重症医学</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硕士研究生及以上学历学位，或本科及以上学历学位且副高级及以上职称</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非应届毕业生需在三级及以上医院从事本专业工作2年及以上</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5</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乳腺病科医生</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外科学（乳腺病方向）、肿瘤学（甲乳方向）</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硕士研究生及以上学历学位</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非应届毕业生需具有中级及以上职称且在三级及以上医院从事本专业工作2年及以上</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6</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超声影像中心医生</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2</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医学影像学、临床医学、影像医学与核医学</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硕士研究生及以上学历学位，本科及以上学历学位且初级及以上职称</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应届毕业生需完成规培，非应届毕业生为中级及以下职称者报名时需取得规培证书且需在三级及以上医院从事本专业工作2年及以上</w:t>
            </w:r>
          </w:p>
        </w:tc>
      </w:tr>
      <w:tr>
        <w:tblPrEx>
          <w:shd w:val="clear"/>
          <w:tblCellMar>
            <w:top w:w="15" w:type="dxa"/>
            <w:left w:w="15" w:type="dxa"/>
            <w:bottom w:w="15" w:type="dxa"/>
            <w:right w:w="15" w:type="dxa"/>
          </w:tblCellMar>
        </w:tblPrEx>
        <w:trPr>
          <w:tblCellSpacing w:w="0" w:type="dxa"/>
        </w:trPr>
        <w:tc>
          <w:tcPr>
            <w:tcW w:w="3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7</w:t>
            </w:r>
          </w:p>
        </w:tc>
        <w:tc>
          <w:tcPr>
            <w:tcW w:w="85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医学检验中心工作人员</w:t>
            </w:r>
          </w:p>
        </w:tc>
        <w:tc>
          <w:tcPr>
            <w:tcW w:w="720" w:type="dxa"/>
            <w:vMerge w:val="continue"/>
            <w:tcBorders>
              <w:top w:val="nil"/>
              <w:left w:val="nil"/>
              <w:bottom w:val="nil"/>
              <w:right w:val="nil"/>
            </w:tcBorders>
            <w:shd w:val="clear"/>
            <w:vAlign w:val="center"/>
          </w:tcPr>
          <w:p>
            <w:pPr>
              <w:rPr>
                <w:rFonts w:hint="eastAsia" w:ascii="微软雅黑" w:hAnsi="微软雅黑" w:eastAsia="微软雅黑" w:cs="微软雅黑"/>
                <w:i w:val="0"/>
                <w:iCs w:val="0"/>
                <w:caps w:val="0"/>
                <w:color w:val="4884A0"/>
                <w:spacing w:val="0"/>
                <w:sz w:val="14"/>
                <w:szCs w:val="14"/>
              </w:rPr>
            </w:pPr>
          </w:p>
        </w:tc>
        <w:tc>
          <w:tcPr>
            <w:tcW w:w="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1</w:t>
            </w:r>
          </w:p>
        </w:tc>
        <w:tc>
          <w:tcPr>
            <w:tcW w:w="20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临床检验诊断学、免疫学、病原生物学、生物化学与分子生物学、病理学与病理生理学</w:t>
            </w:r>
          </w:p>
        </w:tc>
        <w:tc>
          <w:tcPr>
            <w:tcW w:w="19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硕士研究生及以上学历学位</w:t>
            </w:r>
          </w:p>
        </w:tc>
        <w:tc>
          <w:tcPr>
            <w:tcW w:w="1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iCs w:val="0"/>
                <w:caps w:val="0"/>
                <w:color w:val="4884A0"/>
                <w:spacing w:val="0"/>
                <w:kern w:val="0"/>
                <w:sz w:val="20"/>
                <w:szCs w:val="20"/>
                <w:lang w:val="en-US" w:eastAsia="zh-CN" w:bidi="ar"/>
              </w:rPr>
              <w:t>非应届毕业生需具有中级及以上职称且在三级及以上医院从事本专业工作2年及以上</w:t>
            </w:r>
          </w:p>
        </w:tc>
      </w:tr>
    </w:tbl>
    <w:p>
      <w:bookmarkStart w:id="0" w:name="_GoBack"/>
      <w:bookmarkEnd w:id="0"/>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8C4EBC"/>
    <w:rsid w:val="038C4EBC"/>
    <w:rsid w:val="3E275F96"/>
    <w:rsid w:val="4D0F7F34"/>
    <w:rsid w:val="4FB63561"/>
    <w:rsid w:val="65DE5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宋体"/>
      <w:sz w:val="2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2021-06-04T08:38:00Z</dcterms:created>
  <dc:creator>john-a</dc:creator>
  <cp:lastModifiedBy>卜荣荣</cp:lastModifiedBy>
  <cp:lastPrinted>2021-06-28T10:18:00Z</cp:lastPrinted>
  <dcterms:modified xsi:type="dcterms:W3CDTF">2021-07-02T06:44:16Z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A4F6040A38CB48D6A9B55B9C5681B47B</vt:lpwstr>
  </property>
</Properties>
</file>