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40404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404040"/>
          <w:spacing w:val="0"/>
          <w:sz w:val="24"/>
          <w:szCs w:val="24"/>
          <w:bdr w:val="none" w:color="auto" w:sz="0" w:space="0"/>
        </w:rPr>
        <w:t>招收条件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21"/>
        <w:gridCol w:w="2983"/>
        <w:gridCol w:w="1722"/>
        <w:gridCol w:w="687"/>
        <w:gridCol w:w="14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8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医院药师（高等医药院校药学院系）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第一学历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（全日制本科）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第二学历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（硕士学位）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药学部门从事药剂工作时间（连续）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职称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培训专业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临床药学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1年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专科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临床药学（科学或专业学位）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半年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专科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药学/药物制剂/药物分析/药物化学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2年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专科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临床药学（专业学位）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1年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专科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非药学专业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临床药学/药理学/药剂学（全日制）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2年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主管药师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04040"/>
                <w:spacing w:val="0"/>
                <w:sz w:val="21"/>
                <w:szCs w:val="21"/>
                <w:bdr w:val="none" w:color="auto" w:sz="0" w:space="0"/>
              </w:rPr>
              <w:t>专科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45A19"/>
    <w:rsid w:val="2B74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2021-06-24T02:52:00Z</dcterms:created>
  <dc:creator>Administrator</dc:creator>
  <cp:lastModifiedBy>Administrator</cp:lastModifiedBy>
  <dcterms:modified xsi:type="dcterms:W3CDTF">2021-06-24T03:12:56Z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