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3"/>
        <w:gridCol w:w="1740"/>
        <w:gridCol w:w="3761"/>
        <w:gridCol w:w="2525"/>
      </w:tblGrid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37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学历学位及专业</w:t>
            </w:r>
          </w:p>
        </w:tc>
        <w:tc>
          <w:tcPr>
            <w:tcW w:w="2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毕业院校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编辑岗位01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范文凯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结构工程专业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谢菲尔德大学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编辑岗位02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崔高洁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金融学专业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南洋理工大学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编辑岗位03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武柏芸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运筹学与控制论专业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北京交通大学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编辑岗位04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靳珊珊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网络安全与人工智能专业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谢菲尔德大学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编辑岗位05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穆雪微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道路与铁道工程专业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北京交通大学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编辑岗位06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解思远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数字人文专业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伦敦大学学院</w:t>
            </w:r>
          </w:p>
        </w:tc>
      </w:tr>
      <w:tr w:rsidR="007C28BA" w:rsidRPr="007C28BA" w:rsidTr="007C28BA">
        <w:trPr>
          <w:trHeight w:val="680"/>
          <w:jc w:val="center"/>
        </w:trPr>
        <w:tc>
          <w:tcPr>
            <w:tcW w:w="2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营销岗位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李晨曦</w:t>
            </w:r>
          </w:p>
        </w:tc>
        <w:tc>
          <w:tcPr>
            <w:tcW w:w="3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大学学士</w:t>
            </w:r>
          </w:p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贸易经济专业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8BA" w:rsidRPr="007C28BA" w:rsidRDefault="007C28BA" w:rsidP="007C28B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C28BA">
              <w:rPr>
                <w:rFonts w:ascii="宋体" w:eastAsia="宋体" w:hAnsi="宋体" w:cs="宋体" w:hint="eastAsia"/>
                <w:sz w:val="24"/>
                <w:szCs w:val="24"/>
              </w:rPr>
              <w:t>北京第二外国语学院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28BA"/>
    <w:rsid w:val="00236CBB"/>
    <w:rsid w:val="00323B43"/>
    <w:rsid w:val="003D37D8"/>
    <w:rsid w:val="004358AB"/>
    <w:rsid w:val="0064020C"/>
    <w:rsid w:val="007C28BA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2021-06-23T05:57:00Z</dcterms:created>
  <dcterms:modified xsi:type="dcterms:W3CDTF">2021-06-23T05:57:00Z</dcterms:modified>
</cp:coreProperties>
</file>