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line="555" w:lineRule="atLeast"/>
        <w:ind w:left="0" w:right="0"/>
        <w:jc w:val="left"/>
        <w:rPr>
          <w:sz w:val="21"/>
          <w:szCs w:val="21"/>
        </w:rPr>
      </w:pPr>
      <w:r>
        <w:rPr>
          <w:rFonts w:ascii="仿宋_GB2312" w:eastAsia="仿宋_GB2312" w:cs="仿宋_GB2312" w:hAnsiTheme="minorHAnsi"/>
          <w:kern w:val="0"/>
          <w:sz w:val="31"/>
          <w:szCs w:val="31"/>
          <w:lang w:val="en-US" w:eastAsia="zh-CN" w:bidi="ar"/>
        </w:rPr>
        <w:t>根据《</w:t>
      </w:r>
      <w:r>
        <w:rPr>
          <w:rFonts w:hint="default" w:ascii="仿宋_GB2312" w:eastAsia="仿宋_GB2312" w:cs="仿宋_GB2312" w:hAnsiTheme="minorHAnsi"/>
          <w:kern w:val="0"/>
          <w:sz w:val="31"/>
          <w:szCs w:val="31"/>
          <w:lang w:val="en-US" w:eastAsia="zh-CN" w:bidi="ar"/>
        </w:rPr>
        <w:t>平湖市国有资产控股集团有限公司市场化选聘职业经理人和部门经理公告》及选聘工作实施方案精神，经报名、资格审核、面试，成绩已揭晓，现将面试成绩予以公布。</w:t>
      </w:r>
    </w:p>
    <w:tbl>
      <w:tblPr>
        <w:tblW w:w="8235" w:type="dxa"/>
        <w:tblInd w:w="90" w:type="dxa"/>
        <w:shd w:val="clear"/>
        <w:tblLayout w:type="autofit"/>
        <w:tblCellMar>
          <w:top w:w="0" w:type="dxa"/>
          <w:left w:w="0" w:type="dxa"/>
          <w:bottom w:w="0" w:type="dxa"/>
          <w:right w:w="0" w:type="dxa"/>
        </w:tblCellMar>
      </w:tblPr>
      <w:tblGrid>
        <w:gridCol w:w="3135"/>
        <w:gridCol w:w="2130"/>
        <w:gridCol w:w="2970"/>
      </w:tblGrid>
      <w:tr>
        <w:tblPrEx>
          <w:shd w:val="clear"/>
          <w:tblCellMar>
            <w:top w:w="0" w:type="dxa"/>
            <w:left w:w="0" w:type="dxa"/>
            <w:bottom w:w="0" w:type="dxa"/>
            <w:right w:w="0" w:type="dxa"/>
          </w:tblCellMar>
        </w:tblPrEx>
        <w:trPr>
          <w:trHeight w:val="375" w:hRule="atLeast"/>
        </w:trPr>
        <w:tc>
          <w:tcPr>
            <w:tcW w:w="3135" w:type="dxa"/>
            <w:tcBorders>
              <w:top w:val="single" w:color="auto" w:sz="6" w:space="0"/>
              <w:left w:val="single" w:color="auto" w:sz="6" w:space="0"/>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ascii="黑体" w:hAnsi="宋体" w:eastAsia="黑体" w:cs="黑体"/>
                <w:color w:val="000000"/>
                <w:kern w:val="0"/>
                <w:sz w:val="31"/>
                <w:szCs w:val="31"/>
                <w:lang w:val="en-US" w:eastAsia="zh-CN" w:bidi="ar"/>
              </w:rPr>
              <w:t>岗位</w:t>
            </w:r>
          </w:p>
        </w:tc>
        <w:tc>
          <w:tcPr>
            <w:tcW w:w="2130" w:type="dxa"/>
            <w:tcBorders>
              <w:top w:val="single" w:color="auto" w:sz="6" w:space="0"/>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eastAsia" w:ascii="黑体" w:hAnsi="宋体" w:eastAsia="黑体" w:cs="黑体"/>
                <w:color w:val="000000"/>
                <w:kern w:val="0"/>
                <w:sz w:val="31"/>
                <w:szCs w:val="31"/>
                <w:lang w:val="en-US" w:eastAsia="zh-CN" w:bidi="ar"/>
              </w:rPr>
              <w:t>抽签号</w:t>
            </w:r>
          </w:p>
        </w:tc>
        <w:tc>
          <w:tcPr>
            <w:tcW w:w="2970" w:type="dxa"/>
            <w:tcBorders>
              <w:top w:val="single" w:color="auto" w:sz="6" w:space="0"/>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eastAsia" w:ascii="黑体" w:hAnsi="宋体" w:eastAsia="黑体" w:cs="黑体"/>
                <w:color w:val="000000"/>
                <w:kern w:val="0"/>
                <w:sz w:val="31"/>
                <w:szCs w:val="31"/>
                <w:lang w:val="en-US" w:eastAsia="zh-CN" w:bidi="ar"/>
              </w:rPr>
              <w:t>面试成绩</w:t>
            </w:r>
          </w:p>
        </w:tc>
      </w:tr>
      <w:tr>
        <w:tblPrEx>
          <w:tblCellMar>
            <w:top w:w="0" w:type="dxa"/>
            <w:left w:w="0" w:type="dxa"/>
            <w:bottom w:w="0" w:type="dxa"/>
            <w:right w:w="0" w:type="dxa"/>
          </w:tblCellMar>
        </w:tblPrEx>
        <w:trPr>
          <w:trHeight w:val="375" w:hRule="atLeast"/>
        </w:trPr>
        <w:tc>
          <w:tcPr>
            <w:tcW w:w="3135" w:type="dxa"/>
            <w:tcBorders>
              <w:top w:val="nil"/>
              <w:left w:val="single" w:color="auto" w:sz="6" w:space="0"/>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副总经理</w:t>
            </w: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1</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79</w:t>
            </w:r>
          </w:p>
        </w:tc>
      </w:tr>
      <w:tr>
        <w:tblPrEx>
          <w:tblCellMar>
            <w:top w:w="0" w:type="dxa"/>
            <w:left w:w="0" w:type="dxa"/>
            <w:bottom w:w="0" w:type="dxa"/>
            <w:right w:w="0" w:type="dxa"/>
          </w:tblCellMar>
        </w:tblPrEx>
        <w:trPr>
          <w:trHeight w:val="375" w:hRule="atLeast"/>
        </w:trPr>
        <w:tc>
          <w:tcPr>
            <w:tcW w:w="3135" w:type="dxa"/>
            <w:vMerge w:val="restart"/>
            <w:tcBorders>
              <w:top w:val="nil"/>
              <w:left w:val="single" w:color="auto" w:sz="6" w:space="0"/>
              <w:bottom w:val="single" w:color="000000"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投资融资部经理</w:t>
            </w: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1</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82.6</w:t>
            </w:r>
          </w:p>
        </w:tc>
      </w:tr>
      <w:tr>
        <w:tblPrEx>
          <w:tblCellMar>
            <w:top w:w="0" w:type="dxa"/>
            <w:left w:w="0" w:type="dxa"/>
            <w:bottom w:w="0" w:type="dxa"/>
            <w:right w:w="0" w:type="dxa"/>
          </w:tblCellMar>
        </w:tblPrEx>
        <w:trPr>
          <w:trHeight w:val="375" w:hRule="atLeast"/>
        </w:trPr>
        <w:tc>
          <w:tcPr>
            <w:tcW w:w="3135" w:type="dxa"/>
            <w:vMerge w:val="continue"/>
            <w:tcBorders>
              <w:top w:val="nil"/>
              <w:left w:val="single" w:color="auto" w:sz="6" w:space="0"/>
              <w:bottom w:val="single" w:color="000000" w:sz="6" w:space="0"/>
              <w:right w:val="single" w:color="auto" w:sz="6" w:space="0"/>
            </w:tcBorders>
            <w:shd w:val="clear"/>
            <w:tcMar>
              <w:left w:w="105" w:type="dxa"/>
              <w:right w:w="105" w:type="dxa"/>
            </w:tcMar>
            <w:vAlign w:val="center"/>
          </w:tcPr>
          <w:p>
            <w:pPr>
              <w:rPr>
                <w:rFonts w:hint="eastAsia" w:ascii="宋体"/>
                <w:sz w:val="24"/>
                <w:szCs w:val="24"/>
              </w:rPr>
            </w:pP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2</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78.4</w:t>
            </w:r>
          </w:p>
        </w:tc>
      </w:tr>
      <w:tr>
        <w:tblPrEx>
          <w:tblCellMar>
            <w:top w:w="0" w:type="dxa"/>
            <w:left w:w="0" w:type="dxa"/>
            <w:bottom w:w="0" w:type="dxa"/>
            <w:right w:w="0" w:type="dxa"/>
          </w:tblCellMar>
        </w:tblPrEx>
        <w:trPr>
          <w:trHeight w:val="375" w:hRule="atLeast"/>
        </w:trPr>
        <w:tc>
          <w:tcPr>
            <w:tcW w:w="3135" w:type="dxa"/>
            <w:vMerge w:val="continue"/>
            <w:tcBorders>
              <w:top w:val="nil"/>
              <w:left w:val="single" w:color="auto" w:sz="6" w:space="0"/>
              <w:bottom w:val="single" w:color="000000" w:sz="6" w:space="0"/>
              <w:right w:val="single" w:color="auto" w:sz="6" w:space="0"/>
            </w:tcBorders>
            <w:shd w:val="clear"/>
            <w:tcMar>
              <w:left w:w="105" w:type="dxa"/>
              <w:right w:w="105" w:type="dxa"/>
            </w:tcMar>
            <w:vAlign w:val="center"/>
          </w:tcPr>
          <w:p>
            <w:pPr>
              <w:rPr>
                <w:rFonts w:hint="eastAsia" w:ascii="宋体"/>
                <w:sz w:val="24"/>
                <w:szCs w:val="24"/>
              </w:rPr>
            </w:pP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3</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88.2</w:t>
            </w:r>
          </w:p>
        </w:tc>
      </w:tr>
      <w:tr>
        <w:tblPrEx>
          <w:tblCellMar>
            <w:top w:w="0" w:type="dxa"/>
            <w:left w:w="0" w:type="dxa"/>
            <w:bottom w:w="0" w:type="dxa"/>
            <w:right w:w="0" w:type="dxa"/>
          </w:tblCellMar>
        </w:tblPrEx>
        <w:trPr>
          <w:trHeight w:val="375" w:hRule="atLeast"/>
        </w:trPr>
        <w:tc>
          <w:tcPr>
            <w:tcW w:w="3135" w:type="dxa"/>
            <w:vMerge w:val="continue"/>
            <w:tcBorders>
              <w:top w:val="nil"/>
              <w:left w:val="single" w:color="auto" w:sz="6" w:space="0"/>
              <w:bottom w:val="single" w:color="000000" w:sz="6" w:space="0"/>
              <w:right w:val="single" w:color="auto" w:sz="6" w:space="0"/>
            </w:tcBorders>
            <w:shd w:val="clear"/>
            <w:tcMar>
              <w:left w:w="105" w:type="dxa"/>
              <w:right w:w="105" w:type="dxa"/>
            </w:tcMar>
            <w:vAlign w:val="center"/>
          </w:tcPr>
          <w:p>
            <w:pPr>
              <w:rPr>
                <w:rFonts w:hint="eastAsia" w:ascii="宋体"/>
                <w:sz w:val="24"/>
                <w:szCs w:val="24"/>
              </w:rPr>
            </w:pP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4</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82.4</w:t>
            </w:r>
          </w:p>
        </w:tc>
      </w:tr>
      <w:tr>
        <w:tblPrEx>
          <w:tblCellMar>
            <w:top w:w="0" w:type="dxa"/>
            <w:left w:w="0" w:type="dxa"/>
            <w:bottom w:w="0" w:type="dxa"/>
            <w:right w:w="0" w:type="dxa"/>
          </w:tblCellMar>
        </w:tblPrEx>
        <w:trPr>
          <w:trHeight w:val="375" w:hRule="atLeast"/>
        </w:trPr>
        <w:tc>
          <w:tcPr>
            <w:tcW w:w="3135" w:type="dxa"/>
            <w:vMerge w:val="continue"/>
            <w:tcBorders>
              <w:top w:val="nil"/>
              <w:left w:val="single" w:color="auto" w:sz="6" w:space="0"/>
              <w:bottom w:val="single" w:color="000000" w:sz="6" w:space="0"/>
              <w:right w:val="single" w:color="auto" w:sz="6" w:space="0"/>
            </w:tcBorders>
            <w:shd w:val="clear"/>
            <w:tcMar>
              <w:left w:w="105" w:type="dxa"/>
              <w:right w:w="105" w:type="dxa"/>
            </w:tcMar>
            <w:vAlign w:val="center"/>
          </w:tcPr>
          <w:p>
            <w:pPr>
              <w:rPr>
                <w:rFonts w:hint="eastAsia" w:ascii="宋体"/>
                <w:sz w:val="24"/>
                <w:szCs w:val="24"/>
              </w:rPr>
            </w:pP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5</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76.2</w:t>
            </w:r>
          </w:p>
        </w:tc>
      </w:tr>
      <w:tr>
        <w:tblPrEx>
          <w:tblCellMar>
            <w:top w:w="0" w:type="dxa"/>
            <w:left w:w="0" w:type="dxa"/>
            <w:bottom w:w="0" w:type="dxa"/>
            <w:right w:w="0" w:type="dxa"/>
          </w:tblCellMar>
        </w:tblPrEx>
        <w:trPr>
          <w:trHeight w:val="375" w:hRule="atLeast"/>
        </w:trPr>
        <w:tc>
          <w:tcPr>
            <w:tcW w:w="3135" w:type="dxa"/>
            <w:vMerge w:val="continue"/>
            <w:tcBorders>
              <w:top w:val="nil"/>
              <w:left w:val="single" w:color="auto" w:sz="6" w:space="0"/>
              <w:bottom w:val="single" w:color="000000" w:sz="6" w:space="0"/>
              <w:right w:val="single" w:color="auto" w:sz="6" w:space="0"/>
            </w:tcBorders>
            <w:shd w:val="clear"/>
            <w:tcMar>
              <w:left w:w="105" w:type="dxa"/>
              <w:right w:w="105" w:type="dxa"/>
            </w:tcMar>
            <w:vAlign w:val="center"/>
          </w:tcPr>
          <w:p>
            <w:pPr>
              <w:rPr>
                <w:rFonts w:hint="eastAsia" w:ascii="宋体"/>
                <w:sz w:val="24"/>
                <w:szCs w:val="24"/>
              </w:rPr>
            </w:pP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6</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77.8</w:t>
            </w:r>
          </w:p>
        </w:tc>
      </w:tr>
      <w:tr>
        <w:tblPrEx>
          <w:tblCellMar>
            <w:top w:w="0" w:type="dxa"/>
            <w:left w:w="0" w:type="dxa"/>
            <w:bottom w:w="0" w:type="dxa"/>
            <w:right w:w="0" w:type="dxa"/>
          </w:tblCellMar>
        </w:tblPrEx>
        <w:trPr>
          <w:trHeight w:val="375" w:hRule="atLeast"/>
        </w:trPr>
        <w:tc>
          <w:tcPr>
            <w:tcW w:w="3135" w:type="dxa"/>
            <w:vMerge w:val="continue"/>
            <w:tcBorders>
              <w:top w:val="nil"/>
              <w:left w:val="single" w:color="auto" w:sz="6" w:space="0"/>
              <w:bottom w:val="single" w:color="000000" w:sz="6" w:space="0"/>
              <w:right w:val="single" w:color="auto" w:sz="6" w:space="0"/>
            </w:tcBorders>
            <w:shd w:val="clear"/>
            <w:tcMar>
              <w:left w:w="105" w:type="dxa"/>
              <w:right w:w="105" w:type="dxa"/>
            </w:tcMar>
            <w:vAlign w:val="center"/>
          </w:tcPr>
          <w:p>
            <w:pPr>
              <w:rPr>
                <w:rFonts w:hint="eastAsia" w:ascii="宋体"/>
                <w:sz w:val="24"/>
                <w:szCs w:val="24"/>
              </w:rPr>
            </w:pP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7</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79</w:t>
            </w:r>
          </w:p>
        </w:tc>
      </w:tr>
      <w:tr>
        <w:tblPrEx>
          <w:tblCellMar>
            <w:top w:w="0" w:type="dxa"/>
            <w:left w:w="0" w:type="dxa"/>
            <w:bottom w:w="0" w:type="dxa"/>
            <w:right w:w="0" w:type="dxa"/>
          </w:tblCellMar>
        </w:tblPrEx>
        <w:trPr>
          <w:trHeight w:val="375" w:hRule="atLeast"/>
        </w:trPr>
        <w:tc>
          <w:tcPr>
            <w:tcW w:w="3135" w:type="dxa"/>
            <w:vMerge w:val="continue"/>
            <w:tcBorders>
              <w:top w:val="nil"/>
              <w:left w:val="single" w:color="auto" w:sz="6" w:space="0"/>
              <w:bottom w:val="single" w:color="000000" w:sz="6" w:space="0"/>
              <w:right w:val="single" w:color="auto" w:sz="6" w:space="0"/>
            </w:tcBorders>
            <w:shd w:val="clear"/>
            <w:tcMar>
              <w:left w:w="105" w:type="dxa"/>
              <w:right w:w="105" w:type="dxa"/>
            </w:tcMar>
            <w:vAlign w:val="center"/>
          </w:tcPr>
          <w:p>
            <w:pPr>
              <w:rPr>
                <w:rFonts w:hint="eastAsia" w:ascii="宋体"/>
                <w:sz w:val="24"/>
                <w:szCs w:val="24"/>
              </w:rPr>
            </w:pPr>
          </w:p>
        </w:tc>
        <w:tc>
          <w:tcPr>
            <w:tcW w:w="213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8</w:t>
            </w:r>
          </w:p>
        </w:tc>
        <w:tc>
          <w:tcPr>
            <w:tcW w:w="2970" w:type="dxa"/>
            <w:tcBorders>
              <w:top w:val="nil"/>
              <w:left w:val="nil"/>
              <w:bottom w:val="single" w:color="auto" w:sz="6" w:space="0"/>
              <w:right w:val="single" w:color="auto" w:sz="6" w:space="0"/>
            </w:tcBorders>
            <w:shd w:val="clear"/>
            <w:tcMar>
              <w:left w:w="105" w:type="dxa"/>
              <w:right w:w="105" w:type="dxa"/>
            </w:tcMar>
            <w:vAlign w:val="center"/>
          </w:tcPr>
          <w:p>
            <w:pPr>
              <w:keepNext w:val="0"/>
              <w:keepLines w:val="0"/>
              <w:widowControl/>
              <w:suppressLineNumbers w:val="0"/>
              <w:spacing w:before="0" w:beforeAutospacing="0" w:after="0" w:afterAutospacing="0" w:line="405" w:lineRule="atLeast"/>
              <w:ind w:left="0" w:right="0"/>
              <w:jc w:val="center"/>
              <w:rPr>
                <w:sz w:val="21"/>
                <w:szCs w:val="21"/>
              </w:rPr>
            </w:pPr>
            <w:r>
              <w:rPr>
                <w:rFonts w:hint="default" w:ascii="仿宋_GB2312" w:eastAsia="仿宋_GB2312" w:cs="仿宋_GB2312" w:hAnsiTheme="minorHAnsi"/>
                <w:color w:val="000000"/>
                <w:kern w:val="0"/>
                <w:sz w:val="31"/>
                <w:szCs w:val="31"/>
                <w:lang w:val="en-US" w:eastAsia="zh-CN" w:bidi="ar"/>
              </w:rPr>
              <w:t>缺考</w:t>
            </w:r>
          </w:p>
        </w:tc>
      </w:tr>
    </w:tbl>
    <w:p>
      <w:pPr>
        <w:keepNext w:val="0"/>
        <w:keepLines w:val="0"/>
        <w:widowControl/>
        <w:suppressLineNumbers w:val="0"/>
        <w:spacing w:before="0" w:beforeAutospacing="0" w:after="0" w:afterAutospacing="0" w:line="600" w:lineRule="atLeast"/>
        <w:ind w:left="0" w:right="0"/>
        <w:jc w:val="left"/>
        <w:rPr>
          <w:sz w:val="21"/>
          <w:szCs w:val="21"/>
        </w:rPr>
      </w:pPr>
      <w:r>
        <w:rPr>
          <w:rFonts w:hint="default" w:ascii="仿宋_GB2312" w:eastAsia="仿宋_GB2312" w:cs="仿宋_GB2312" w:hAnsiTheme="minorHAnsi"/>
          <w:color w:val="111F2C"/>
          <w:kern w:val="0"/>
          <w:sz w:val="31"/>
          <w:szCs w:val="31"/>
          <w:shd w:val="clear" w:fill="FFFFFF"/>
          <w:lang w:val="en-US" w:eastAsia="zh-CN" w:bidi="ar"/>
        </w:rPr>
        <w:t>    备注：入围名单、体检时间另行通知。</w:t>
      </w:r>
    </w:p>
    <w:p>
      <w:pPr>
        <w:keepNext w:val="0"/>
        <w:keepLines w:val="0"/>
        <w:widowControl/>
        <w:suppressLineNumbers w:val="0"/>
        <w:spacing w:before="0" w:beforeAutospacing="0" w:after="0" w:afterAutospacing="0" w:line="600" w:lineRule="atLeast"/>
        <w:ind w:left="0" w:right="0"/>
        <w:jc w:val="left"/>
        <w:rPr>
          <w:sz w:val="21"/>
          <w:szCs w:val="21"/>
        </w:rPr>
      </w:pPr>
      <w:r>
        <w:rPr>
          <w:rFonts w:asciiTheme="minorHAnsi" w:hAnsiTheme="minorHAnsi" w:eastAsiaTheme="minorEastAsia" w:cstheme="minorBidi"/>
          <w:kern w:val="0"/>
          <w:sz w:val="21"/>
          <w:szCs w:val="21"/>
          <w:lang w:val="en-US" w:eastAsia="zh-CN" w:bidi="ar"/>
        </w:rPr>
        <w:t> </w:t>
      </w:r>
    </w:p>
    <w:p>
      <w:pPr>
        <w:keepNext w:val="0"/>
        <w:keepLines w:val="0"/>
        <w:widowControl/>
        <w:suppressLineNumbers w:val="0"/>
        <w:spacing w:before="0" w:beforeAutospacing="0" w:after="0" w:afterAutospacing="0" w:line="600" w:lineRule="atLeast"/>
        <w:ind w:left="0" w:right="0"/>
        <w:jc w:val="left"/>
        <w:rPr>
          <w:sz w:val="21"/>
          <w:szCs w:val="21"/>
        </w:rPr>
      </w:pPr>
      <w:r>
        <w:rPr>
          <w:rFonts w:hint="default" w:ascii="仿宋_GB2312" w:eastAsia="仿宋_GB2312" w:cs="仿宋_GB2312" w:hAnsiTheme="minorHAnsi"/>
          <w:kern w:val="0"/>
          <w:sz w:val="31"/>
          <w:szCs w:val="31"/>
          <w:lang w:val="en-US" w:eastAsia="zh-CN" w:bidi="ar"/>
        </w:rPr>
        <w:t>                                                              平湖市财政局（国资监管办）</w:t>
      </w:r>
    </w:p>
    <w:p>
      <w:pPr>
        <w:pStyle w:val="2"/>
        <w:keepNext w:val="0"/>
        <w:keepLines w:val="0"/>
        <w:widowControl/>
        <w:suppressLineNumbers w:val="0"/>
      </w:pPr>
      <w:r>
        <w:rPr>
          <w:rFonts w:hint="default" w:ascii="仿宋_GB2312" w:eastAsia="仿宋_GB2312" w:cs="仿宋_GB2312"/>
          <w:sz w:val="31"/>
          <w:szCs w:val="31"/>
        </w:rPr>
        <w:t>                                                                   2021年6月19日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8E3B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2021-06-22T00:26:33Z</dcterms:created>
  <dc:creator>Administrator</dc:creator>
  <cp:lastModifiedBy>Administrator</cp:lastModifiedBy>
  <dcterms:modified xsi:type="dcterms:W3CDTF">2021-06-22T00:26:36Z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EB9243290E764440ABB562F8EA9296A3</vt:lpwstr>
  </property>
</Properties>
</file>