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u w:val="none"/>
        </w:rPr>
      </w:pPr>
      <w:bookmarkStart w:id="0" w:name="_GoBack"/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u w:val="none"/>
          <w:bdr w:val="none" w:color="auto" w:sz="0" w:space="0"/>
        </w:rPr>
        <w:t>岗位工资、基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u w:val="none"/>
          <w:bdr w:val="none" w:color="auto" w:sz="0" w:space="0"/>
        </w:rPr>
        <w:t>础性绩效、奖励性绩效及午餐补助标准</w:t>
      </w:r>
    </w:p>
    <w:bookmarkEnd w:id="0"/>
    <w:tbl>
      <w:tblPr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426"/>
        <w:gridCol w:w="426"/>
        <w:gridCol w:w="426"/>
        <w:gridCol w:w="427"/>
        <w:gridCol w:w="427"/>
        <w:gridCol w:w="427"/>
        <w:gridCol w:w="2877"/>
        <w:gridCol w:w="433"/>
        <w:gridCol w:w="499"/>
        <w:gridCol w:w="817"/>
        <w:gridCol w:w="6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岗位工资（元）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基础性绩效（元）</w:t>
            </w: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奖励性绩效（元）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博士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硕士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博士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无执业医师证</w:t>
            </w:r>
          </w:p>
        </w:tc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有执业医师证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单独值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班者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午餐补助（元）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第一年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第二、三年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本单位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住院医师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本单位发放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第一年前半无绩效，后半年200元每人每月；第二年，执业医师成绩未出前按500元每人每月，未通过执业医师证者无绩效。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根据临床工作情况按实发放绩效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社会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住院医师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1610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2165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委培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住院医师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委培单位发放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0" w:type="auto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注：1、考虑工资标准的政策性变动，基本工资和基础性绩效由人力资源部按相关工资政策核定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0" w:lineRule="atLeast"/>
              <w:ind w:left="0" w:right="0" w:firstLine="360"/>
              <w:rPr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2、单位人休产假期间，其基本工资及基础性绩效按照国家政策由原单位发放；社会人在产假期间，按照国家政策要求提交相关材料到人力资源部领取生育保险。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733C4"/>
    <w:rsid w:val="2887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2021-05-06T00:44:00Z</dcterms:created>
  <dc:creator>Administrator</dc:creator>
  <cp:lastModifiedBy>Administrator</cp:lastModifiedBy>
  <dcterms:modified xsi:type="dcterms:W3CDTF">2021-05-06T02:38:13Z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