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40"/>
        </w:tabs>
        <w:rPr>
          <w:rFonts w:ascii="仿宋_GB2312" w:hAnsi="仿宋_GB2312" w:eastAsia="仿宋_GB2312" w:cs="仿宋_GB2312"/>
          <w:sz w:val="32"/>
          <w:szCs w:val="32"/>
        </w:rPr>
      </w:pPr>
      <w:r>
        <w:rPr>
          <w:rFonts w:hint="eastAsia" w:ascii="仿宋_GB2312" w:hAnsi="仿宋_GB2312" w:eastAsia="仿宋_GB2312" w:cs="仿宋_GB2312"/>
          <w:sz w:val="32"/>
          <w:szCs w:val="32"/>
        </w:rPr>
        <w:t>附件1</w:t>
      </w:r>
    </w:p>
    <w:p>
      <w:pPr>
        <w:tabs>
          <w:tab w:val="left" w:pos="840"/>
        </w:tabs>
        <w:jc w:val="center"/>
        <w:rPr>
          <w:b/>
          <w:bCs/>
          <w:sz w:val="36"/>
          <w:szCs w:val="36"/>
        </w:rPr>
      </w:pPr>
      <w:bookmarkStart w:id="0" w:name="_GoBack"/>
      <w:r>
        <w:rPr>
          <w:rFonts w:hint="eastAsia"/>
          <w:b/>
          <w:bCs/>
          <w:sz w:val="36"/>
          <w:szCs w:val="36"/>
        </w:rPr>
        <w:t>2021年潜山市融媒体中心赴高校招聘播音主持岗位专业技术人员岗位信息表</w:t>
      </w:r>
    </w:p>
    <w:bookmarkEnd w:id="0"/>
    <w:p>
      <w:pPr>
        <w:jc w:val="center"/>
      </w:pPr>
    </w:p>
    <w:tbl>
      <w:tblPr>
        <w:tblStyle w:val="4"/>
        <w:tblpPr w:leftFromText="180" w:rightFromText="180" w:vertAnchor="page" w:horzAnchor="page" w:tblpX="769" w:tblpY="3685"/>
        <w:tblOverlap w:val="never"/>
        <w:tblW w:w="15324" w:type="dxa"/>
        <w:tblInd w:w="0" w:type="dxa"/>
        <w:tblLayout w:type="autofit"/>
        <w:tblCellMar>
          <w:top w:w="0" w:type="dxa"/>
          <w:left w:w="0" w:type="dxa"/>
          <w:bottom w:w="0" w:type="dxa"/>
          <w:right w:w="0" w:type="dxa"/>
        </w:tblCellMar>
      </w:tblPr>
      <w:tblGrid>
        <w:gridCol w:w="813"/>
        <w:gridCol w:w="575"/>
        <w:gridCol w:w="600"/>
        <w:gridCol w:w="615"/>
        <w:gridCol w:w="1155"/>
        <w:gridCol w:w="1584"/>
        <w:gridCol w:w="1336"/>
        <w:gridCol w:w="1984"/>
        <w:gridCol w:w="1843"/>
        <w:gridCol w:w="1417"/>
        <w:gridCol w:w="2410"/>
        <w:gridCol w:w="992"/>
      </w:tblGrid>
      <w:tr>
        <w:tblPrEx>
          <w:tblCellMar>
            <w:top w:w="0" w:type="dxa"/>
            <w:left w:w="0" w:type="dxa"/>
            <w:bottom w:w="0" w:type="dxa"/>
            <w:right w:w="0" w:type="dxa"/>
          </w:tblCellMar>
        </w:tblPrEx>
        <w:trPr>
          <w:trHeight w:val="720" w:hRule="atLeast"/>
        </w:trPr>
        <w:tc>
          <w:tcPr>
            <w:tcW w:w="81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rPr>
              <w:t>主管 部门</w:t>
            </w:r>
          </w:p>
        </w:tc>
        <w:tc>
          <w:tcPr>
            <w:tcW w:w="57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rPr>
              <w:t>招聘单位</w:t>
            </w:r>
          </w:p>
        </w:tc>
        <w:tc>
          <w:tcPr>
            <w:tcW w:w="60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rPr>
              <w:t>供给性质</w:t>
            </w:r>
          </w:p>
        </w:tc>
        <w:tc>
          <w:tcPr>
            <w:tcW w:w="61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rPr>
              <w:t>招聘人数</w:t>
            </w:r>
          </w:p>
        </w:tc>
        <w:tc>
          <w:tcPr>
            <w:tcW w:w="115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rPr>
              <w:t>招聘岗位</w:t>
            </w:r>
          </w:p>
        </w:tc>
        <w:tc>
          <w:tcPr>
            <w:tcW w:w="11566" w:type="dxa"/>
            <w:gridSpan w:val="7"/>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b/>
                <w:bCs/>
                <w:color w:val="000000"/>
                <w:sz w:val="22"/>
              </w:rPr>
            </w:pPr>
            <w:r>
              <w:rPr>
                <w:rFonts w:hint="eastAsia" w:ascii="仿宋" w:hAnsi="仿宋" w:eastAsia="仿宋" w:cs="仿宋"/>
                <w:b/>
                <w:bCs/>
                <w:color w:val="000000"/>
                <w:kern w:val="0"/>
                <w:sz w:val="24"/>
              </w:rPr>
              <w:t>岗位所需要资格条件</w:t>
            </w:r>
          </w:p>
        </w:tc>
      </w:tr>
      <w:tr>
        <w:tblPrEx>
          <w:tblCellMar>
            <w:top w:w="0" w:type="dxa"/>
            <w:left w:w="0" w:type="dxa"/>
            <w:bottom w:w="0" w:type="dxa"/>
            <w:right w:w="0" w:type="dxa"/>
          </w:tblCellMar>
        </w:tblPrEx>
        <w:trPr>
          <w:trHeight w:val="730" w:hRule="atLeast"/>
        </w:trPr>
        <w:tc>
          <w:tcPr>
            <w:tcW w:w="813" w:type="dxa"/>
            <w:vMerge w:val="continue"/>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keepLines/>
              <w:spacing w:before="340" w:after="330" w:line="578" w:lineRule="auto"/>
              <w:jc w:val="center"/>
              <w:rPr>
                <w:rFonts w:ascii="仿宋" w:hAnsi="仿宋" w:eastAsia="仿宋" w:cs="仿宋"/>
                <w:b/>
                <w:bCs/>
                <w:color w:val="000000"/>
                <w:sz w:val="24"/>
              </w:rPr>
            </w:pPr>
          </w:p>
        </w:tc>
        <w:tc>
          <w:tcPr>
            <w:tcW w:w="575" w:type="dxa"/>
            <w:vMerge w:val="continue"/>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keepLines/>
              <w:spacing w:before="340" w:after="330" w:line="578" w:lineRule="auto"/>
              <w:jc w:val="center"/>
              <w:rPr>
                <w:rFonts w:ascii="仿宋" w:hAnsi="仿宋" w:eastAsia="仿宋" w:cs="仿宋"/>
                <w:b/>
                <w:bCs/>
                <w:color w:val="000000"/>
                <w:sz w:val="24"/>
              </w:rPr>
            </w:pPr>
          </w:p>
        </w:tc>
        <w:tc>
          <w:tcPr>
            <w:tcW w:w="600" w:type="dxa"/>
            <w:vMerge w:val="continue"/>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keepLines/>
              <w:spacing w:before="340" w:after="330" w:line="578" w:lineRule="auto"/>
              <w:jc w:val="center"/>
              <w:rPr>
                <w:rFonts w:ascii="仿宋" w:hAnsi="仿宋" w:eastAsia="仿宋" w:cs="仿宋"/>
                <w:b/>
                <w:bCs/>
                <w:color w:val="000000"/>
                <w:sz w:val="24"/>
              </w:rPr>
            </w:pPr>
          </w:p>
        </w:tc>
        <w:tc>
          <w:tcPr>
            <w:tcW w:w="615" w:type="dxa"/>
            <w:vMerge w:val="continue"/>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keepLines/>
              <w:spacing w:before="340" w:after="330" w:line="578" w:lineRule="auto"/>
              <w:jc w:val="center"/>
              <w:rPr>
                <w:rFonts w:ascii="仿宋" w:hAnsi="仿宋" w:eastAsia="仿宋" w:cs="仿宋"/>
                <w:b/>
                <w:bCs/>
                <w:color w:val="000000"/>
                <w:sz w:val="24"/>
              </w:rPr>
            </w:pPr>
          </w:p>
        </w:tc>
        <w:tc>
          <w:tcPr>
            <w:tcW w:w="1155" w:type="dxa"/>
            <w:vMerge w:val="continue"/>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keepLines/>
              <w:spacing w:before="340" w:after="330" w:line="578" w:lineRule="auto"/>
              <w:jc w:val="center"/>
              <w:rPr>
                <w:rFonts w:ascii="仿宋" w:hAnsi="仿宋" w:eastAsia="仿宋" w:cs="仿宋"/>
                <w:b/>
                <w:bCs/>
                <w:color w:val="000000"/>
                <w:sz w:val="24"/>
              </w:rPr>
            </w:pPr>
          </w:p>
        </w:tc>
        <w:tc>
          <w:tcPr>
            <w:tcW w:w="1584"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rPr>
              <w:t>学历</w:t>
            </w:r>
          </w:p>
        </w:tc>
        <w:tc>
          <w:tcPr>
            <w:tcW w:w="1336"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rPr>
              <w:t>专科</w:t>
            </w:r>
          </w:p>
        </w:tc>
        <w:tc>
          <w:tcPr>
            <w:tcW w:w="19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120" w:firstLineChars="50"/>
              <w:jc w:val="center"/>
              <w:textAlignment w:val="center"/>
              <w:rPr>
                <w:rFonts w:ascii="仿宋" w:hAnsi="仿宋" w:eastAsia="仿宋" w:cs="仿宋"/>
                <w:b/>
                <w:bCs/>
                <w:color w:val="000000"/>
                <w:kern w:val="0"/>
                <w:sz w:val="24"/>
              </w:rPr>
            </w:pPr>
            <w:r>
              <w:rPr>
                <w:rFonts w:hint="eastAsia" w:ascii="仿宋" w:hAnsi="仿宋" w:eastAsia="仿宋" w:cs="仿宋"/>
                <w:b/>
                <w:bCs/>
                <w:color w:val="000000"/>
                <w:kern w:val="0"/>
                <w:sz w:val="24"/>
              </w:rPr>
              <w:t>本科</w:t>
            </w:r>
          </w:p>
        </w:tc>
        <w:tc>
          <w:tcPr>
            <w:tcW w:w="18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rPr>
              <w:t>研究生</w:t>
            </w:r>
          </w:p>
        </w:tc>
        <w:tc>
          <w:tcPr>
            <w:tcW w:w="141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rPr>
              <w:t>年龄</w:t>
            </w:r>
          </w:p>
        </w:tc>
        <w:tc>
          <w:tcPr>
            <w:tcW w:w="24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rPr>
              <w:t>其它条件</w:t>
            </w:r>
          </w:p>
        </w:tc>
        <w:tc>
          <w:tcPr>
            <w:tcW w:w="9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rPr>
              <w:t>备注</w:t>
            </w:r>
          </w:p>
        </w:tc>
      </w:tr>
      <w:tr>
        <w:tblPrEx>
          <w:tblCellMar>
            <w:top w:w="0" w:type="dxa"/>
            <w:left w:w="0" w:type="dxa"/>
            <w:bottom w:w="0" w:type="dxa"/>
            <w:right w:w="0" w:type="dxa"/>
          </w:tblCellMar>
        </w:tblPrEx>
        <w:trPr>
          <w:trHeight w:val="2024" w:hRule="atLeast"/>
        </w:trPr>
        <w:tc>
          <w:tcPr>
            <w:tcW w:w="813" w:type="dxa"/>
            <w:vMerge w:val="restart"/>
            <w:tcBorders>
              <w:top w:val="single" w:color="auto" w:sz="4" w:space="0"/>
              <w:left w:val="single" w:color="auto" w:sz="4" w:space="0"/>
              <w:right w:val="single" w:color="auto" w:sz="4" w:space="0"/>
            </w:tcBorders>
            <w:tcMar>
              <w:top w:w="15" w:type="dxa"/>
              <w:left w:w="15" w:type="dxa"/>
              <w:right w:w="15" w:type="dxa"/>
            </w:tcMar>
            <w:vAlign w:val="center"/>
          </w:tcPr>
          <w:p>
            <w:pPr>
              <w:widowControl/>
              <w:jc w:val="center"/>
              <w:textAlignment w:val="center"/>
              <w:rPr>
                <w:rFonts w:ascii="仿宋_GB2312" w:hAnsi="仿宋" w:eastAsia="仿宋_GB2312" w:cs="仿宋"/>
                <w:color w:val="000000"/>
                <w:sz w:val="24"/>
                <w:szCs w:val="24"/>
              </w:rPr>
            </w:pPr>
            <w:r>
              <w:rPr>
                <w:rFonts w:hint="eastAsia" w:ascii="仿宋_GB2312" w:hAnsi="仿宋" w:eastAsia="仿宋_GB2312" w:cs="仿宋"/>
                <w:color w:val="000000"/>
                <w:sz w:val="24"/>
                <w:szCs w:val="24"/>
              </w:rPr>
              <w:t>中共潜山市委宣传部</w:t>
            </w:r>
          </w:p>
        </w:tc>
        <w:tc>
          <w:tcPr>
            <w:tcW w:w="575" w:type="dxa"/>
            <w:vMerge w:val="restart"/>
            <w:tcBorders>
              <w:top w:val="single" w:color="auto" w:sz="4" w:space="0"/>
              <w:left w:val="single" w:color="auto" w:sz="4" w:space="0"/>
              <w:right w:val="single" w:color="auto" w:sz="4" w:space="0"/>
            </w:tcBorders>
            <w:tcMar>
              <w:top w:w="15" w:type="dxa"/>
              <w:left w:w="15" w:type="dxa"/>
              <w:right w:w="15" w:type="dxa"/>
            </w:tcMar>
            <w:vAlign w:val="center"/>
          </w:tcPr>
          <w:p>
            <w:pPr>
              <w:widowControl/>
              <w:jc w:val="center"/>
              <w:textAlignment w:val="center"/>
              <w:rPr>
                <w:rFonts w:ascii="仿宋_GB2312" w:hAnsi="仿宋" w:eastAsia="仿宋_GB2312" w:cs="仿宋"/>
                <w:color w:val="000000"/>
                <w:sz w:val="24"/>
                <w:szCs w:val="24"/>
              </w:rPr>
            </w:pPr>
            <w:r>
              <w:rPr>
                <w:rFonts w:hint="eastAsia" w:ascii="仿宋_GB2312" w:hAnsi="仿宋" w:eastAsia="仿宋_GB2312" w:cs="仿宋"/>
                <w:color w:val="000000"/>
                <w:kern w:val="0"/>
                <w:sz w:val="24"/>
                <w:szCs w:val="24"/>
              </w:rPr>
              <w:t>潜山市融媒体中心</w:t>
            </w:r>
          </w:p>
        </w:tc>
        <w:tc>
          <w:tcPr>
            <w:tcW w:w="600" w:type="dxa"/>
            <w:vMerge w:val="restart"/>
            <w:tcBorders>
              <w:top w:val="single" w:color="auto" w:sz="4" w:space="0"/>
              <w:left w:val="single" w:color="auto" w:sz="4" w:space="0"/>
              <w:right w:val="single" w:color="auto" w:sz="4" w:space="0"/>
            </w:tcBorders>
            <w:tcMar>
              <w:top w:w="15" w:type="dxa"/>
              <w:left w:w="15" w:type="dxa"/>
              <w:right w:w="15" w:type="dxa"/>
            </w:tcMar>
            <w:vAlign w:val="center"/>
          </w:tcPr>
          <w:p>
            <w:pPr>
              <w:widowControl/>
              <w:jc w:val="center"/>
              <w:textAlignment w:val="center"/>
              <w:rPr>
                <w:rFonts w:ascii="仿宋_GB2312" w:hAnsi="仿宋" w:eastAsia="仿宋_GB2312" w:cs="仿宋"/>
                <w:color w:val="000000"/>
                <w:sz w:val="24"/>
                <w:szCs w:val="24"/>
              </w:rPr>
            </w:pPr>
            <w:r>
              <w:rPr>
                <w:rFonts w:hint="eastAsia" w:ascii="仿宋_GB2312" w:hAnsi="仿宋" w:eastAsia="仿宋_GB2312" w:cs="仿宋"/>
                <w:color w:val="000000"/>
                <w:kern w:val="0"/>
                <w:sz w:val="24"/>
                <w:szCs w:val="24"/>
              </w:rPr>
              <w:t>全额拨款</w:t>
            </w:r>
          </w:p>
        </w:tc>
        <w:tc>
          <w:tcPr>
            <w:tcW w:w="615" w:type="dxa"/>
            <w:vMerge w:val="restart"/>
            <w:tcBorders>
              <w:top w:val="single" w:color="auto" w:sz="4" w:space="0"/>
              <w:left w:val="single" w:color="auto" w:sz="4" w:space="0"/>
              <w:right w:val="single" w:color="auto" w:sz="4" w:space="0"/>
            </w:tcBorders>
            <w:tcMar>
              <w:top w:w="15" w:type="dxa"/>
              <w:left w:w="15" w:type="dxa"/>
              <w:right w:w="15" w:type="dxa"/>
            </w:tcMar>
            <w:vAlign w:val="center"/>
          </w:tcPr>
          <w:p>
            <w:pPr>
              <w:widowControl/>
              <w:jc w:val="center"/>
              <w:textAlignment w:val="center"/>
              <w:rPr>
                <w:rFonts w:ascii="仿宋_GB2312" w:hAnsi="宋体" w:eastAsia="仿宋_GB2312" w:cs="宋体"/>
                <w:color w:val="000000"/>
                <w:sz w:val="24"/>
                <w:szCs w:val="24"/>
              </w:rPr>
            </w:pPr>
            <w:r>
              <w:rPr>
                <w:rFonts w:hint="eastAsia" w:ascii="仿宋_GB2312" w:hAnsi="宋体" w:eastAsia="仿宋_GB2312" w:cs="宋体"/>
                <w:color w:val="000000"/>
                <w:kern w:val="0"/>
                <w:sz w:val="24"/>
                <w:szCs w:val="24"/>
              </w:rPr>
              <w:t>2</w:t>
            </w:r>
          </w:p>
        </w:tc>
        <w:tc>
          <w:tcPr>
            <w:tcW w:w="115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仿宋_GB2312" w:hAnsi="仿宋" w:eastAsia="仿宋_GB2312" w:cs="仿宋"/>
                <w:color w:val="000000"/>
                <w:sz w:val="24"/>
                <w:szCs w:val="24"/>
              </w:rPr>
            </w:pPr>
            <w:r>
              <w:rPr>
                <w:rFonts w:hint="eastAsia" w:ascii="仿宋_GB2312" w:hAnsi="仿宋" w:eastAsia="仿宋_GB2312" w:cs="仿宋"/>
                <w:color w:val="000000"/>
                <w:kern w:val="0"/>
                <w:sz w:val="24"/>
                <w:szCs w:val="24"/>
              </w:rPr>
              <w:t>播音主持（男）</w:t>
            </w:r>
          </w:p>
        </w:tc>
        <w:tc>
          <w:tcPr>
            <w:tcW w:w="1584" w:type="dxa"/>
            <w:vMerge w:val="restart"/>
            <w:tcBorders>
              <w:top w:val="single" w:color="auto" w:sz="4" w:space="0"/>
              <w:left w:val="single" w:color="auto" w:sz="4" w:space="0"/>
              <w:right w:val="single" w:color="auto" w:sz="4" w:space="0"/>
            </w:tcBorders>
            <w:tcMar>
              <w:top w:w="15" w:type="dxa"/>
              <w:left w:w="15" w:type="dxa"/>
              <w:right w:w="15" w:type="dxa"/>
            </w:tcMar>
            <w:vAlign w:val="center"/>
          </w:tcPr>
          <w:p>
            <w:pPr>
              <w:widowControl/>
              <w:jc w:val="center"/>
              <w:textAlignment w:val="center"/>
              <w:rPr>
                <w:rFonts w:ascii="仿宋_GB2312" w:hAnsi="仿宋" w:eastAsia="仿宋_GB2312" w:cs="仿宋"/>
                <w:color w:val="000000"/>
                <w:sz w:val="24"/>
                <w:szCs w:val="24"/>
              </w:rPr>
            </w:pPr>
            <w:r>
              <w:rPr>
                <w:rFonts w:hint="eastAsia" w:ascii="仿宋_GB2312" w:hAnsi="仿宋" w:eastAsia="仿宋_GB2312" w:cs="仿宋"/>
                <w:color w:val="000000"/>
                <w:kern w:val="0"/>
                <w:sz w:val="24"/>
                <w:szCs w:val="24"/>
              </w:rPr>
              <w:t>专科及以上</w:t>
            </w:r>
          </w:p>
        </w:tc>
        <w:tc>
          <w:tcPr>
            <w:tcW w:w="1336" w:type="dxa"/>
            <w:vMerge w:val="restart"/>
            <w:tcBorders>
              <w:top w:val="single" w:color="auto" w:sz="4" w:space="0"/>
              <w:left w:val="single" w:color="auto" w:sz="4" w:space="0"/>
              <w:right w:val="single" w:color="auto" w:sz="4" w:space="0"/>
            </w:tcBorders>
            <w:tcMar>
              <w:top w:w="15" w:type="dxa"/>
              <w:left w:w="15" w:type="dxa"/>
              <w:right w:w="15" w:type="dxa"/>
            </w:tcMar>
            <w:vAlign w:val="center"/>
          </w:tcPr>
          <w:p>
            <w:pPr>
              <w:widowControl/>
              <w:jc w:val="center"/>
              <w:textAlignment w:val="center"/>
              <w:rPr>
                <w:rFonts w:ascii="仿宋_GB2312" w:hAnsi="仿宋" w:eastAsia="仿宋_GB2312" w:cs="仿宋"/>
                <w:color w:val="000000"/>
                <w:sz w:val="24"/>
                <w:szCs w:val="24"/>
              </w:rPr>
            </w:pPr>
            <w:r>
              <w:rPr>
                <w:rFonts w:hint="eastAsia" w:ascii="仿宋_GB2312" w:hAnsi="仿宋" w:eastAsia="仿宋_GB2312" w:cs="仿宋"/>
                <w:color w:val="000000"/>
                <w:sz w:val="24"/>
                <w:szCs w:val="24"/>
              </w:rPr>
              <w:t>播音与主持</w:t>
            </w:r>
          </w:p>
        </w:tc>
        <w:tc>
          <w:tcPr>
            <w:tcW w:w="1984" w:type="dxa"/>
            <w:vMerge w:val="restart"/>
            <w:tcBorders>
              <w:top w:val="single" w:color="000000" w:sz="4" w:space="0"/>
              <w:left w:val="single" w:color="auto" w:sz="4" w:space="0"/>
              <w:right w:val="single" w:color="000000" w:sz="4" w:space="0"/>
            </w:tcBorders>
            <w:tcMar>
              <w:top w:w="15" w:type="dxa"/>
              <w:left w:w="15" w:type="dxa"/>
              <w:right w:w="15" w:type="dxa"/>
            </w:tcMar>
            <w:vAlign w:val="center"/>
          </w:tcPr>
          <w:p>
            <w:pPr>
              <w:widowControl/>
              <w:jc w:val="left"/>
              <w:textAlignment w:val="center"/>
              <w:rPr>
                <w:rFonts w:ascii="仿宋_GB2312" w:hAnsi="仿宋" w:eastAsia="仿宋_GB2312" w:cs="仿宋"/>
                <w:color w:val="000000"/>
                <w:kern w:val="0"/>
                <w:sz w:val="24"/>
                <w:szCs w:val="24"/>
              </w:rPr>
            </w:pPr>
            <w:r>
              <w:rPr>
                <w:rFonts w:hint="eastAsia" w:ascii="仿宋_GB2312" w:hAnsi="仿宋" w:eastAsia="仿宋_GB2312" w:cs="仿宋"/>
                <w:color w:val="000000"/>
                <w:kern w:val="0"/>
                <w:sz w:val="24"/>
                <w:szCs w:val="24"/>
              </w:rPr>
              <w:t>播音与主持艺术</w:t>
            </w:r>
          </w:p>
          <w:p>
            <w:pPr>
              <w:widowControl/>
              <w:jc w:val="left"/>
              <w:textAlignment w:val="center"/>
              <w:rPr>
                <w:rFonts w:ascii="仿宋_GB2312" w:hAnsi="仿宋" w:eastAsia="仿宋_GB2312" w:cs="仿宋"/>
                <w:color w:val="000000"/>
                <w:kern w:val="0"/>
                <w:sz w:val="24"/>
                <w:szCs w:val="24"/>
              </w:rPr>
            </w:pPr>
            <w:r>
              <w:rPr>
                <w:rFonts w:hint="eastAsia" w:ascii="仿宋_GB2312" w:hAnsi="仿宋" w:eastAsia="仿宋_GB2312" w:cs="仿宋"/>
                <w:color w:val="000000"/>
                <w:kern w:val="0"/>
                <w:sz w:val="24"/>
                <w:szCs w:val="24"/>
              </w:rPr>
              <w:t>汉语言文学</w:t>
            </w:r>
          </w:p>
          <w:p>
            <w:pPr>
              <w:widowControl/>
              <w:jc w:val="left"/>
              <w:textAlignment w:val="center"/>
              <w:rPr>
                <w:rFonts w:ascii="仿宋_GB2312" w:hAnsi="仿宋" w:eastAsia="仿宋_GB2312" w:cs="仿宋"/>
                <w:color w:val="000000"/>
                <w:kern w:val="0"/>
                <w:sz w:val="24"/>
                <w:szCs w:val="24"/>
              </w:rPr>
            </w:pPr>
            <w:r>
              <w:rPr>
                <w:rFonts w:hint="eastAsia" w:ascii="仿宋_GB2312" w:hAnsi="仿宋" w:eastAsia="仿宋_GB2312" w:cs="仿宋"/>
                <w:color w:val="000000"/>
                <w:kern w:val="0"/>
                <w:sz w:val="24"/>
                <w:szCs w:val="24"/>
              </w:rPr>
              <w:t>新闻学广播电视学</w:t>
            </w:r>
          </w:p>
          <w:p>
            <w:pPr>
              <w:widowControl/>
              <w:jc w:val="left"/>
              <w:textAlignment w:val="center"/>
              <w:rPr>
                <w:rFonts w:ascii="仿宋_GB2312" w:hAnsi="仿宋" w:eastAsia="仿宋_GB2312" w:cs="仿宋"/>
                <w:color w:val="000000"/>
                <w:kern w:val="0"/>
                <w:sz w:val="24"/>
                <w:szCs w:val="24"/>
              </w:rPr>
            </w:pPr>
            <w:r>
              <w:rPr>
                <w:rFonts w:hint="eastAsia" w:ascii="仿宋_GB2312" w:hAnsi="仿宋" w:eastAsia="仿宋_GB2312" w:cs="仿宋"/>
                <w:color w:val="000000"/>
                <w:kern w:val="0"/>
                <w:sz w:val="24"/>
                <w:szCs w:val="24"/>
              </w:rPr>
              <w:t>秘书学</w:t>
            </w:r>
          </w:p>
        </w:tc>
        <w:tc>
          <w:tcPr>
            <w:tcW w:w="1843"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jc w:val="center"/>
              <w:rPr>
                <w:rFonts w:ascii="仿宋_GB2312" w:hAnsi="仿宋" w:eastAsia="仿宋_GB2312" w:cs="仿宋"/>
                <w:color w:val="000000"/>
                <w:kern w:val="0"/>
                <w:sz w:val="24"/>
                <w:szCs w:val="24"/>
              </w:rPr>
            </w:pPr>
          </w:p>
          <w:p>
            <w:pPr>
              <w:jc w:val="left"/>
              <w:rPr>
                <w:rFonts w:ascii="仿宋_GB2312" w:hAnsi="仿宋" w:eastAsia="仿宋_GB2312" w:cs="仿宋"/>
                <w:color w:val="000000"/>
                <w:kern w:val="0"/>
                <w:sz w:val="24"/>
                <w:szCs w:val="24"/>
              </w:rPr>
            </w:pPr>
          </w:p>
          <w:p>
            <w:pPr>
              <w:jc w:val="left"/>
              <w:rPr>
                <w:rFonts w:ascii="仿宋_GB2312" w:hAnsi="仿宋" w:eastAsia="仿宋_GB2312" w:cs="仿宋"/>
                <w:color w:val="000000"/>
                <w:kern w:val="0"/>
                <w:sz w:val="24"/>
                <w:szCs w:val="24"/>
              </w:rPr>
            </w:pPr>
          </w:p>
          <w:p>
            <w:pPr>
              <w:jc w:val="left"/>
              <w:rPr>
                <w:rFonts w:ascii="仿宋_GB2312" w:hAnsi="仿宋" w:eastAsia="仿宋_GB2312" w:cs="仿宋"/>
                <w:color w:val="000000"/>
                <w:kern w:val="0"/>
                <w:sz w:val="24"/>
                <w:szCs w:val="24"/>
              </w:rPr>
            </w:pPr>
            <w:r>
              <w:rPr>
                <w:rFonts w:hint="eastAsia" w:ascii="仿宋_GB2312" w:hAnsi="仿宋" w:eastAsia="仿宋_GB2312" w:cs="仿宋"/>
                <w:color w:val="000000"/>
                <w:kern w:val="0"/>
                <w:sz w:val="24"/>
                <w:szCs w:val="24"/>
              </w:rPr>
              <w:t>新闻学</w:t>
            </w:r>
          </w:p>
          <w:p>
            <w:pPr>
              <w:jc w:val="left"/>
              <w:rPr>
                <w:rFonts w:ascii="仿宋_GB2312" w:hAnsi="仿宋" w:eastAsia="仿宋_GB2312" w:cs="仿宋"/>
                <w:color w:val="000000"/>
                <w:kern w:val="0"/>
                <w:sz w:val="24"/>
                <w:szCs w:val="24"/>
              </w:rPr>
            </w:pPr>
            <w:r>
              <w:rPr>
                <w:rFonts w:hint="eastAsia" w:ascii="仿宋_GB2312" w:hAnsi="仿宋" w:eastAsia="仿宋_GB2312" w:cs="仿宋"/>
                <w:color w:val="000000"/>
                <w:kern w:val="0"/>
                <w:sz w:val="24"/>
                <w:szCs w:val="24"/>
              </w:rPr>
              <w:t>汉语言文字学</w:t>
            </w:r>
          </w:p>
          <w:p>
            <w:pPr>
              <w:jc w:val="left"/>
              <w:rPr>
                <w:rFonts w:ascii="仿宋_GB2312" w:hAnsi="仿宋" w:eastAsia="仿宋_GB2312" w:cs="仿宋"/>
                <w:color w:val="000000"/>
                <w:kern w:val="0"/>
                <w:sz w:val="24"/>
                <w:szCs w:val="24"/>
              </w:rPr>
            </w:pPr>
            <w:r>
              <w:rPr>
                <w:rFonts w:hint="eastAsia" w:ascii="仿宋_GB2312" w:hAnsi="仿宋" w:eastAsia="仿宋_GB2312" w:cs="仿宋"/>
                <w:color w:val="000000"/>
                <w:kern w:val="0"/>
                <w:sz w:val="24"/>
                <w:szCs w:val="24"/>
              </w:rPr>
              <w:t>广播电视艺术学</w:t>
            </w:r>
          </w:p>
          <w:p>
            <w:pPr>
              <w:jc w:val="center"/>
              <w:rPr>
                <w:rFonts w:ascii="仿宋_GB2312" w:hAnsi="仿宋" w:eastAsia="仿宋_GB2312" w:cs="仿宋"/>
                <w:color w:val="000000"/>
                <w:kern w:val="0"/>
                <w:sz w:val="24"/>
                <w:szCs w:val="24"/>
              </w:rPr>
            </w:pPr>
          </w:p>
          <w:p>
            <w:pPr>
              <w:jc w:val="center"/>
              <w:rPr>
                <w:rFonts w:ascii="仿宋_GB2312" w:hAnsi="Arial" w:eastAsia="仿宋_GB2312" w:cs="Arial"/>
                <w:color w:val="000000" w:themeColor="text1"/>
                <w:sz w:val="24"/>
                <w:szCs w:val="24"/>
                <w14:textFill>
                  <w14:solidFill>
                    <w14:schemeClr w14:val="tx1"/>
                  </w14:solidFill>
                </w14:textFill>
              </w:rPr>
            </w:pPr>
          </w:p>
          <w:p>
            <w:pPr>
              <w:jc w:val="center"/>
              <w:rPr>
                <w:rFonts w:ascii="仿宋_GB2312" w:hAnsi="Arial" w:eastAsia="仿宋_GB2312" w:cs="Arial"/>
                <w:color w:val="333333"/>
                <w:sz w:val="24"/>
                <w:szCs w:val="24"/>
              </w:rPr>
            </w:pPr>
          </w:p>
          <w:p>
            <w:pPr>
              <w:widowControl/>
              <w:jc w:val="center"/>
              <w:textAlignment w:val="center"/>
              <w:rPr>
                <w:rFonts w:ascii="仿宋_GB2312" w:hAnsi="仿宋" w:eastAsia="仿宋_GB2312" w:cs="仿宋"/>
                <w:color w:val="000000"/>
                <w:sz w:val="24"/>
                <w:szCs w:val="24"/>
              </w:rPr>
            </w:pPr>
          </w:p>
        </w:tc>
        <w:tc>
          <w:tcPr>
            <w:tcW w:w="1417"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 w:eastAsia="仿宋_GB2312" w:cs="仿宋"/>
                <w:color w:val="000000"/>
                <w:sz w:val="24"/>
                <w:szCs w:val="24"/>
              </w:rPr>
            </w:pPr>
            <w:r>
              <w:rPr>
                <w:rFonts w:hint="eastAsia" w:ascii="仿宋_GB2312" w:hAnsi="仿宋" w:eastAsia="仿宋_GB2312" w:cs="仿宋"/>
                <w:color w:val="000000"/>
                <w:kern w:val="0"/>
                <w:sz w:val="24"/>
                <w:szCs w:val="24"/>
              </w:rPr>
              <w:t>25周岁以下（1995年4月以后出生）</w:t>
            </w:r>
          </w:p>
        </w:tc>
        <w:tc>
          <w:tcPr>
            <w:tcW w:w="24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仿宋_GB2312" w:hAnsi="仿宋" w:eastAsia="仿宋_GB2312" w:cs="仿宋"/>
                <w:color w:val="000000"/>
                <w:sz w:val="24"/>
                <w:szCs w:val="24"/>
              </w:rPr>
            </w:pPr>
            <w:r>
              <w:rPr>
                <w:rFonts w:hint="eastAsia" w:ascii="仿宋_GB2312" w:hAnsi="仿宋" w:eastAsia="仿宋_GB2312" w:cs="仿宋"/>
                <w:color w:val="000000"/>
                <w:sz w:val="24"/>
                <w:szCs w:val="24"/>
              </w:rPr>
              <w:t>男身高1.68米及以上,具有二级甲等及以上普通话等级证书。</w:t>
            </w:r>
          </w:p>
        </w:tc>
        <w:tc>
          <w:tcPr>
            <w:tcW w:w="9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仿宋" w:hAnsi="仿宋" w:eastAsia="仿宋" w:cs="仿宋"/>
                <w:color w:val="000000"/>
                <w:sz w:val="24"/>
              </w:rPr>
            </w:pPr>
          </w:p>
        </w:tc>
      </w:tr>
      <w:tr>
        <w:tblPrEx>
          <w:tblCellMar>
            <w:top w:w="0" w:type="dxa"/>
            <w:left w:w="0" w:type="dxa"/>
            <w:bottom w:w="0" w:type="dxa"/>
            <w:right w:w="0" w:type="dxa"/>
          </w:tblCellMar>
        </w:tblPrEx>
        <w:trPr>
          <w:trHeight w:val="2251" w:hRule="atLeast"/>
        </w:trPr>
        <w:tc>
          <w:tcPr>
            <w:tcW w:w="813" w:type="dxa"/>
            <w:vMerge w:val="continue"/>
            <w:tcBorders>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仿宋_GB2312" w:hAnsi="仿宋" w:eastAsia="仿宋_GB2312" w:cs="仿宋"/>
                <w:color w:val="000000"/>
                <w:sz w:val="24"/>
                <w:szCs w:val="24"/>
              </w:rPr>
            </w:pPr>
          </w:p>
        </w:tc>
        <w:tc>
          <w:tcPr>
            <w:tcW w:w="575" w:type="dxa"/>
            <w:vMerge w:val="continue"/>
            <w:tcBorders>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仿宋_GB2312" w:hAnsi="仿宋" w:eastAsia="仿宋_GB2312" w:cs="仿宋"/>
                <w:color w:val="000000"/>
                <w:kern w:val="0"/>
                <w:sz w:val="24"/>
                <w:szCs w:val="24"/>
              </w:rPr>
            </w:pPr>
          </w:p>
        </w:tc>
        <w:tc>
          <w:tcPr>
            <w:tcW w:w="600" w:type="dxa"/>
            <w:vMerge w:val="continue"/>
            <w:tcBorders>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仿宋_GB2312" w:hAnsi="仿宋" w:eastAsia="仿宋_GB2312" w:cs="仿宋"/>
                <w:color w:val="000000"/>
                <w:kern w:val="0"/>
                <w:sz w:val="24"/>
                <w:szCs w:val="24"/>
              </w:rPr>
            </w:pPr>
          </w:p>
        </w:tc>
        <w:tc>
          <w:tcPr>
            <w:tcW w:w="615" w:type="dxa"/>
            <w:vMerge w:val="continue"/>
            <w:tcBorders>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仿宋_GB2312" w:hAnsi="宋体" w:eastAsia="仿宋_GB2312" w:cs="宋体"/>
                <w:color w:val="000000"/>
                <w:kern w:val="0"/>
                <w:sz w:val="24"/>
                <w:szCs w:val="24"/>
              </w:rPr>
            </w:pPr>
          </w:p>
        </w:tc>
        <w:tc>
          <w:tcPr>
            <w:tcW w:w="115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仿宋_GB2312" w:hAnsi="仿宋" w:eastAsia="仿宋_GB2312" w:cs="仿宋"/>
                <w:color w:val="000000"/>
                <w:kern w:val="0"/>
                <w:sz w:val="24"/>
                <w:szCs w:val="24"/>
              </w:rPr>
            </w:pPr>
            <w:r>
              <w:rPr>
                <w:rFonts w:hint="eastAsia" w:ascii="仿宋_GB2312" w:hAnsi="仿宋" w:eastAsia="仿宋_GB2312" w:cs="仿宋"/>
                <w:color w:val="000000"/>
                <w:kern w:val="0"/>
                <w:sz w:val="24"/>
                <w:szCs w:val="24"/>
              </w:rPr>
              <w:t>播音主持（女）</w:t>
            </w:r>
          </w:p>
        </w:tc>
        <w:tc>
          <w:tcPr>
            <w:tcW w:w="1584" w:type="dxa"/>
            <w:vMerge w:val="continue"/>
            <w:tcBorders>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仿宋_GB2312" w:hAnsi="仿宋" w:eastAsia="仿宋_GB2312" w:cs="仿宋"/>
                <w:color w:val="000000"/>
                <w:kern w:val="0"/>
                <w:sz w:val="24"/>
                <w:szCs w:val="24"/>
              </w:rPr>
            </w:pPr>
          </w:p>
        </w:tc>
        <w:tc>
          <w:tcPr>
            <w:tcW w:w="1336" w:type="dxa"/>
            <w:vMerge w:val="continue"/>
            <w:tcBorders>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仿宋_GB2312" w:hAnsi="仿宋" w:eastAsia="仿宋_GB2312" w:cs="仿宋"/>
                <w:color w:val="000000"/>
                <w:sz w:val="24"/>
                <w:szCs w:val="24"/>
              </w:rPr>
            </w:pPr>
          </w:p>
        </w:tc>
        <w:tc>
          <w:tcPr>
            <w:tcW w:w="1984" w:type="dxa"/>
            <w:vMerge w:val="continue"/>
            <w:tcBorders>
              <w:left w:val="single" w:color="auto"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 w:eastAsia="仿宋_GB2312" w:cs="仿宋"/>
                <w:color w:val="000000"/>
                <w:kern w:val="0"/>
                <w:sz w:val="24"/>
                <w:szCs w:val="24"/>
              </w:rPr>
            </w:pPr>
          </w:p>
        </w:tc>
        <w:tc>
          <w:tcPr>
            <w:tcW w:w="1843"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 w:eastAsia="仿宋_GB2312" w:cs="仿宋"/>
                <w:color w:val="000000"/>
                <w:sz w:val="24"/>
                <w:szCs w:val="24"/>
              </w:rPr>
            </w:pPr>
          </w:p>
        </w:tc>
        <w:tc>
          <w:tcPr>
            <w:tcW w:w="1417"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 w:eastAsia="仿宋_GB2312" w:cs="仿宋"/>
                <w:color w:val="000000"/>
                <w:kern w:val="0"/>
                <w:sz w:val="24"/>
                <w:szCs w:val="24"/>
              </w:rPr>
            </w:pPr>
          </w:p>
        </w:tc>
        <w:tc>
          <w:tcPr>
            <w:tcW w:w="24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仿宋_GB2312" w:hAnsi="仿宋" w:eastAsia="仿宋_GB2312" w:cs="仿宋"/>
                <w:color w:val="000000"/>
                <w:sz w:val="24"/>
                <w:szCs w:val="24"/>
              </w:rPr>
            </w:pPr>
            <w:r>
              <w:rPr>
                <w:rFonts w:hint="eastAsia" w:ascii="仿宋_GB2312" w:hAnsi="仿宋" w:eastAsia="仿宋_GB2312" w:cs="仿宋"/>
                <w:color w:val="000000"/>
                <w:sz w:val="24"/>
                <w:szCs w:val="24"/>
              </w:rPr>
              <w:t>女身高1.58米及以上,具有二级甲等及以上普通话等级证书。</w:t>
            </w:r>
          </w:p>
        </w:tc>
        <w:tc>
          <w:tcPr>
            <w:tcW w:w="9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仿宋" w:hAnsi="仿宋" w:eastAsia="仿宋" w:cs="仿宋"/>
                <w:color w:val="000000"/>
                <w:sz w:val="24"/>
              </w:rPr>
            </w:pPr>
          </w:p>
        </w:tc>
      </w:tr>
    </w:tbl>
    <w:p>
      <w:pPr>
        <w:pStyle w:val="3"/>
        <w:widowControl/>
        <w:spacing w:before="0" w:beforeAutospacing="0" w:afterAutospacing="0" w:line="560" w:lineRule="exact"/>
        <w:jc w:val="both"/>
        <w:rPr>
          <w:rFonts w:ascii="仿宋_GB2312" w:eastAsia="仿宋_GB2312"/>
          <w:sz w:val="32"/>
          <w:szCs w:val="32"/>
        </w:rPr>
        <w:sectPr>
          <w:pgSz w:w="16838" w:h="11906" w:orient="landscape"/>
          <w:pgMar w:top="1800" w:right="1440" w:bottom="1800" w:left="1440" w:header="851" w:footer="992" w:gutter="0"/>
          <w:cols w:space="425" w:num="1"/>
          <w:docGrid w:type="lines" w:linePitch="312" w:charSpace="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9B097A"/>
    <w:rsid w:val="319B09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szCs w:val="18"/>
    </w:rPr>
  </w:style>
  <w:style w:type="paragraph" w:styleId="3">
    <w:name w:val="Normal (Web)"/>
    <w:basedOn w:val="1"/>
    <w:qFormat/>
    <w:uiPriority w:val="0"/>
    <w:pPr>
      <w:spacing w:before="100" w:beforeAutospacing="1" w:after="100" w:afterAutospacing="1"/>
      <w:jc w:val="left"/>
    </w:pPr>
    <w:rPr>
      <w:rFonts w:ascii="Calibri" w:hAnsi="Calibri" w:eastAsia="宋体" w:cs="Times New Roman"/>
      <w:kern w:val="0"/>
      <w:sz w:val="24"/>
      <w:szCs w:val="24"/>
    </w:rPr>
  </w:style>
  <w:style w:type="paragraph" w:styleId="6">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2021-04-28T03:53:00Z</dcterms:created>
  <dc:creator>AHo-王宏</dc:creator>
  <cp:lastModifiedBy>AHo-王宏</cp:lastModifiedBy>
  <dcterms:modified xsi:type="dcterms:W3CDTF">2021-04-28T03:54:31Z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5E1B370509FD43179F277A62E5B0402C</vt:lpwstr>
  </property>
</Properties>
</file>