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E6E6E6" w:sz="6" w:space="0"/>
          <w:left w:val="single" w:color="E6E6E6" w:sz="6" w:space="7"/>
          <w:bottom w:val="single" w:color="E6E6E6" w:sz="6" w:space="0"/>
          <w:right w:val="single" w:color="E6E6E6" w:sz="6" w:space="7"/>
        </w:pBdr>
        <w:shd w:val="clear" w:fill="FFFFFF"/>
        <w:spacing w:before="0" w:beforeAutospacing="0" w:after="0" w:afterAutospacing="0" w:line="525" w:lineRule="atLeast"/>
        <w:ind w:left="0" w:right="0"/>
        <w:jc w:val="left"/>
        <w:rPr>
          <w:rFonts w:hint="eastAsia" w:ascii="宋体" w:hAnsi="宋体" w:eastAsia="宋体" w:cs="宋体"/>
          <w:color w:val="000000"/>
        </w:rPr>
      </w:pPr>
    </w:p>
    <w:tbl>
      <w:tblPr>
        <w:tblW w:w="92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904"/>
        <w:gridCol w:w="1748"/>
        <w:gridCol w:w="3420"/>
        <w:gridCol w:w="2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遴选、选调单位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遴选、选调职位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白勇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2010060100108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绵阳市纪委监委机关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李籽利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2010060100219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绵阳市委组织部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胡宇奇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2010060100208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绵阳市委组织部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李堃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2010060100221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绵阳市委组织部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顾星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2010060100322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绵阳市人民政府办公室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王慧凤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2010060100128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绵阳市人民政府办公室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刘善青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2010060100602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绵阳市直机关工委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吴荣虹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2010060100726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绵阳市审计局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自然资源和生态环境审计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傅光耀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2010060100819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绵阳市自然资源和规划局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测绘、地理信息管理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何琴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2010060100908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绵阳市司法局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园区司法所司法助理员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齐彬羽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2010060100915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绵阳市司法局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园区司法所司法助理员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张燚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2010060100927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绵阳市委党史研究室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唐秋林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2010060100810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绵阳市供销合作社联合社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财务与社有资产管理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2010060101018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绵阳市委组织部老干部第二休养所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2010060101109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绵阳市农村人居环境和能源发展中心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陈思邑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2010060101121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绵阳市农村经济经营管理站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代立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2010060101126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游仙区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党史研究室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（地方志办公室）副主任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熊召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2010060101128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梓潼县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仁和镇副镇长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张军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2010060101206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平武县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古城镇副镇长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李燕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2010060101209</w:t>
            </w:r>
          </w:p>
        </w:tc>
        <w:tc>
          <w:tcPr>
            <w:tcW w:w="3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北川县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片口乡副乡长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color w:val="FF0000"/>
          <w:bdr w:val="none" w:color="auto" w:sz="0" w:space="0"/>
          <w:shd w:val="clear" w:fill="FFFFFF"/>
        </w:rPr>
        <w:t>访问量：[430]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E4241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友情链接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263233"/>
    <w:multiLevelType w:val="multilevel"/>
    <w:tmpl w:val="D126323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1C295873"/>
    <w:rsid w:val="2905187C"/>
    <w:rsid w:val="5602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E800D92E015C4F23A103CE1E02733237</vt:lpwstr>
  </property>
</Properties>
</file>