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225" w:beforeAutospacing="0" w:after="0" w:afterAutospacing="0" w:line="23" w:lineRule="atLeast"/>
        <w:ind w:left="0" w:right="0" w:firstLine="0"/>
        <w:jc w:val="left"/>
        <w:rPr>
          <w:rFonts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p>
    <w:tbl>
      <w:tblPr>
        <w:tblW w:w="9429" w:type="dxa"/>
        <w:jc w:val="center"/>
        <w:shd w:val="clear"/>
        <w:tblLayout w:type="autofit"/>
        <w:tblCellMar>
          <w:top w:w="0" w:type="dxa"/>
          <w:left w:w="0" w:type="dxa"/>
          <w:bottom w:w="0" w:type="dxa"/>
          <w:right w:w="0" w:type="dxa"/>
        </w:tblCellMar>
      </w:tblPr>
      <w:tblGrid>
        <w:gridCol w:w="534"/>
        <w:gridCol w:w="1275"/>
        <w:gridCol w:w="567"/>
        <w:gridCol w:w="2552"/>
        <w:gridCol w:w="1843"/>
        <w:gridCol w:w="1275"/>
        <w:gridCol w:w="1383"/>
      </w:tblGrid>
      <w:tr>
        <w:tblPrEx>
          <w:shd w:val="clear"/>
          <w:tblCellMar>
            <w:top w:w="0" w:type="dxa"/>
            <w:left w:w="0" w:type="dxa"/>
            <w:bottom w:w="0" w:type="dxa"/>
            <w:right w:w="0" w:type="dxa"/>
          </w:tblCellMar>
        </w:tblPrEx>
        <w:trPr>
          <w:trHeight w:val="482" w:hRule="atLeast"/>
          <w:jc w:val="center"/>
        </w:trPr>
        <w:tc>
          <w:tcPr>
            <w:tcW w:w="534"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bCs/>
                <w:kern w:val="0"/>
                <w:sz w:val="20"/>
                <w:szCs w:val="20"/>
                <w:bdr w:val="none" w:color="auto" w:sz="0" w:space="0"/>
                <w:lang w:val="en-US" w:eastAsia="zh-CN" w:bidi="ar"/>
              </w:rPr>
              <w:t>代码</w:t>
            </w:r>
          </w:p>
        </w:tc>
        <w:tc>
          <w:tcPr>
            <w:tcW w:w="127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bCs/>
                <w:kern w:val="0"/>
                <w:sz w:val="20"/>
                <w:szCs w:val="20"/>
                <w:bdr w:val="none" w:color="auto" w:sz="0" w:space="0"/>
                <w:lang w:val="en-US" w:eastAsia="zh-CN" w:bidi="ar"/>
              </w:rPr>
              <w:t>岗位名称</w:t>
            </w:r>
          </w:p>
        </w:tc>
        <w:tc>
          <w:tcPr>
            <w:tcW w:w="56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bCs/>
                <w:kern w:val="0"/>
                <w:sz w:val="20"/>
                <w:szCs w:val="20"/>
                <w:bdr w:val="none" w:color="auto" w:sz="0" w:space="0"/>
                <w:lang w:val="en-US" w:eastAsia="zh-CN" w:bidi="ar"/>
              </w:rPr>
              <w:t>人数</w:t>
            </w:r>
          </w:p>
        </w:tc>
        <w:tc>
          <w:tcPr>
            <w:tcW w:w="2552"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bCs/>
                <w:kern w:val="0"/>
                <w:sz w:val="20"/>
                <w:szCs w:val="20"/>
                <w:bdr w:val="none" w:color="auto" w:sz="0" w:space="0"/>
                <w:lang w:val="en-US" w:eastAsia="zh-CN" w:bidi="ar"/>
              </w:rPr>
              <w:t>专业要求</w:t>
            </w:r>
          </w:p>
        </w:tc>
        <w:tc>
          <w:tcPr>
            <w:tcW w:w="1843"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bCs/>
                <w:kern w:val="0"/>
                <w:sz w:val="20"/>
                <w:szCs w:val="20"/>
                <w:bdr w:val="none" w:color="auto" w:sz="0" w:space="0"/>
                <w:lang w:val="en-US" w:eastAsia="zh-CN" w:bidi="ar"/>
              </w:rPr>
              <w:t>学历学位</w:t>
            </w:r>
          </w:p>
        </w:tc>
        <w:tc>
          <w:tcPr>
            <w:tcW w:w="127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bCs/>
                <w:kern w:val="0"/>
                <w:sz w:val="20"/>
                <w:szCs w:val="20"/>
                <w:bdr w:val="none" w:color="auto" w:sz="0" w:space="0"/>
                <w:lang w:val="en-US" w:eastAsia="zh-CN" w:bidi="ar"/>
              </w:rPr>
              <w:t>其它条件</w:t>
            </w:r>
          </w:p>
        </w:tc>
        <w:tc>
          <w:tcPr>
            <w:tcW w:w="1383"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bCs/>
                <w:kern w:val="0"/>
                <w:sz w:val="20"/>
                <w:szCs w:val="20"/>
                <w:bdr w:val="none" w:color="auto" w:sz="0" w:space="0"/>
                <w:lang w:val="en-US" w:eastAsia="zh-CN" w:bidi="ar"/>
              </w:rPr>
              <w:t>备注</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201</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呼吸与危重症医学科医师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内科学（呼吸系病学方向）、临床医学（呼吸系病方向）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202</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消化内科医师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内科学（消化系病方向）、临床医学（消化系病方向）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203</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心血管内科医师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内科学（心血管病方向）、临床医学（心血管病方向）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204</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神经内科医师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神经病学、临床医学（神经病学方向）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120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205</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神经内科医师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神经病学（神经认知、神经行为学、神经心理学、睡眠障碍方向）、临床医学（神经认知、神经行为学、神经心理学、睡眠障碍方向）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该岗位主要从事量表评估工作</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206</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神经内科TCD医师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神经病学、临床医学（神经病学方向）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207</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疼痛科医师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疼痛医学、外科学（神经外科、骨科方向）、临床医学（疼痛医学、神经外科、骨科方向）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208</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肾内科医师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内科学（肾脏病方向）、临床医学（肾脏病方向）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209</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中医科医师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中医内科学、中医学（内科学方向）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210</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感染性疾病科医师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内科学（呼吸系病、感染病方向）、临床医学（呼吸系病、感染病方向）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211</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肝内科医师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内科学（消化系病、感染病方向）、临床医学（消化系病、感染病方向）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212</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肝胆胰外科重症监护医师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重症医学、临床医学（重症医学方向）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213</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血管外科医师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外科学（血管外科方向）、临床医学（血管外科方向）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214</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神经外科医师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外科学（神经外科）、临床医学（神经外科方向）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215</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神经外科电生理医师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外科学（神经外科）、神经病学、临床医学（神经外科、神经病学方向）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216</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口外科医师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口腔医学（口腔颌面外科方向）、口腔临床医学（口腔颌面外科方向）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217</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耳鼻咽喉科医师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耳鼻咽喉科学、临床医学（耳鼻咽喉科学方向）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218</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急诊医学中心医师（外科）</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急诊医学、外科学、重症医学、临床医学（急诊医学、外科学、重症医学方向）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219</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急诊医学中心医师（内科）</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急诊医学、内科学、重症医学、临床医学（急诊医学、内科学、重症医学方向）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220</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男科医师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外科学（男科学方向）、临床医学（男科学方向）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221</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内镜中心医师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内科学（消化系病方向）、临床医学（消化系病方向）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222</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检验科医师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临床医学类</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120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223</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康复医学科技师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康复医学与理疗学、临床医学（康复医学与理疗学方向）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224</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护理</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3</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护理学类</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225</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心电图医师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内科学、临床医学（内科学方向）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color w:val="000000"/>
                <w:kern w:val="0"/>
                <w:sz w:val="20"/>
                <w:szCs w:val="20"/>
                <w:bdr w:val="none" w:color="auto" w:sz="0" w:space="0"/>
                <w:lang w:val="en-US" w:eastAsia="zh-CN" w:bidi="ar"/>
              </w:rPr>
              <w:t>1.取得医师资格证；</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2.取得住院医师规范化培训合格证书或住院医师规范化培训结业考核成绩合格</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226</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口内科医师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口腔医学（口腔修复方向）、口腔临床医学（口腔修复方向）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color w:val="000000"/>
                <w:kern w:val="0"/>
                <w:sz w:val="20"/>
                <w:szCs w:val="20"/>
                <w:bdr w:val="none" w:color="auto" w:sz="0" w:space="0"/>
                <w:lang w:val="en-US" w:eastAsia="zh-CN" w:bidi="ar"/>
              </w:rPr>
              <w:t>1.取得医师资格证；</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2.取得住院医师规范化培训合格证书或住院医师规范化培训结业考核成绩合格</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227</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介入科医师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外科学（肝脏外科、血管外科方向）、影像医学与核医学（放射诊断、介入医学方向）、临床医学（肝脏外科、血管外科、放射诊断、介入医学方向）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color w:val="000000"/>
                <w:kern w:val="0"/>
                <w:sz w:val="20"/>
                <w:szCs w:val="20"/>
                <w:bdr w:val="none" w:color="auto" w:sz="0" w:space="0"/>
                <w:lang w:val="en-US" w:eastAsia="zh-CN" w:bidi="ar"/>
              </w:rPr>
              <w:t>1.取得医师资格证；</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2.取得住院医师规范化培训合格证书或住院医师规范化培训结业考核成绩合格</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228</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营养室医师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内科学、临床医学（内科学方向）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color w:val="000000"/>
                <w:kern w:val="0"/>
                <w:sz w:val="20"/>
                <w:szCs w:val="20"/>
                <w:bdr w:val="none" w:color="auto" w:sz="0" w:space="0"/>
                <w:lang w:val="en-US" w:eastAsia="zh-CN" w:bidi="ar"/>
              </w:rPr>
              <w:t>1.取得医师资格证；</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2.取得住院医师规范化培训合格证书或住院医师规范化培训结业考核成绩合格</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229</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高压氧治疗室医师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神经病学、外科学（神经外科方向）、重症医学、康复医学与理疗学、临床医学（神经病学、神经外科、重症医学、康复医学与理疗学方向)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shd w:val="clear" w:fill="FFFFFF"/>
                <w:lang w:val="en-US" w:eastAsia="zh-CN" w:bidi="ar"/>
              </w:rPr>
              <w:t>1.取得医师资格证；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2.取得住院医师规范化培训合格证书或住院医师规范化培训结业考核成绩合格</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230</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神经病学研究室科研助理</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基础医学类、中药学类</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shd w:val="clear" w:fill="FFFFFF"/>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48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both"/>
              <w:rPr>
                <w:sz w:val="24"/>
                <w:szCs w:val="24"/>
              </w:rPr>
            </w:pPr>
            <w:r>
              <w:rPr>
                <w:rFonts w:hint="eastAsia" w:ascii="宋体" w:hAnsi="宋体" w:eastAsia="宋体" w:cs="宋体"/>
                <w:kern w:val="0"/>
                <w:sz w:val="20"/>
                <w:szCs w:val="20"/>
                <w:bdr w:val="none" w:color="auto" w:sz="0" w:space="0"/>
                <w:lang w:val="en-US" w:eastAsia="zh-CN" w:bidi="ar"/>
              </w:rPr>
              <w:t>231</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神经外科研究所科研助理</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基础医学类、流行病与卫生统计学、转化医学</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shd w:val="clear" w:fill="FFFFFF"/>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232</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检验科技师</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临床检验诊断学、临床医学（临床检验诊断学方向）</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vMerge w:val="restart"/>
            <w:tcBorders>
              <w:top w:val="nil"/>
              <w:left w:val="nil"/>
              <w:bottom w:val="nil"/>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asciiTheme="minorHAnsi" w:hAnsiTheme="minorHAnsi" w:eastAsiaTheme="minorEastAsia" w:cstheme="minorBid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具有相关工作经历　</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vMerge w:val="restart"/>
            <w:tcBorders>
              <w:top w:val="nil"/>
              <w:left w:val="nil"/>
              <w:bottom w:val="nil"/>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232-236岗位工作地点为滨海院区，根据福建省委、省政府的工作部署，该院区为我院与复旦大学附属华山医院、福州市政府三方合作共建国家区域医疗中心，为满足该院区开业需求，应聘人员聘用后需立即上岗</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233</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医务管理</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中西医临床医学、中西医结合临床、中西医结合基础、中医临床基础</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4"/>
                <w:szCs w:val="24"/>
              </w:rPr>
            </w:pPr>
          </w:p>
        </w:tc>
        <w:tc>
          <w:tcPr>
            <w:tcW w:w="1383"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234</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医务管理</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流行病与卫生统计学、儿少卫生与妇幼保健学、公共卫生与预防医学、公共卫生硕士</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4"/>
                <w:szCs w:val="24"/>
              </w:rPr>
            </w:pPr>
          </w:p>
        </w:tc>
        <w:tc>
          <w:tcPr>
            <w:tcW w:w="1383"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235</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医务管理</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临床医学类</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4"/>
                <w:szCs w:val="24"/>
              </w:rPr>
            </w:pPr>
          </w:p>
        </w:tc>
        <w:tc>
          <w:tcPr>
            <w:tcW w:w="1383"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236</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财务管理</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会计与审计类、财政（学）、金融（学）、税务</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4"/>
                <w:szCs w:val="24"/>
              </w:rPr>
            </w:pPr>
          </w:p>
        </w:tc>
        <w:tc>
          <w:tcPr>
            <w:tcW w:w="1383"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237</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党务管理</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3</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哲学类、中国语言文学类、马克思主义理论类、政治学类、历史学类、教育学类</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中共党员</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该岗位从事党务相关工作</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238</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院感管理</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临床医学类</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239</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教学管理</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教育学、教育学原理、课程与教学论、比较教育学、高等教育学</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240</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医保管理</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临床医学类</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r>
        <w:tblPrEx>
          <w:tblCellMar>
            <w:top w:w="0" w:type="dxa"/>
            <w:left w:w="0" w:type="dxa"/>
            <w:bottom w:w="0" w:type="dxa"/>
            <w:right w:w="0" w:type="dxa"/>
          </w:tblCellMar>
        </w:tblPrEx>
        <w:trPr>
          <w:trHeight w:val="720" w:hRule="atLeast"/>
          <w:jc w:val="center"/>
        </w:trPr>
        <w:tc>
          <w:tcPr>
            <w:tcW w:w="53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241</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运营绩效管理部行政管理</w:t>
            </w:r>
          </w:p>
        </w:tc>
        <w:tc>
          <w:tcPr>
            <w:tcW w:w="5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工商管理、技术经济及管理、项目管理、资产评估、企业资源计划管理</w:t>
            </w:r>
          </w:p>
        </w:tc>
        <w:tc>
          <w:tcPr>
            <w:tcW w:w="18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研究生学历、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硕士及以上学位</w:t>
            </w:r>
          </w:p>
        </w:tc>
        <w:tc>
          <w:tcPr>
            <w:tcW w:w="12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　</w:t>
            </w:r>
          </w:p>
        </w:tc>
        <w:tc>
          <w:tcPr>
            <w:tcW w:w="138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asciiTheme="minorHAnsi" w:hAnsiTheme="minorHAnsi" w:eastAsiaTheme="minorEastAsia" w:cstheme="minorBidi"/>
                <w:kern w:val="0"/>
                <w:sz w:val="24"/>
                <w:szCs w:val="24"/>
                <w:bdr w:val="none" w:color="auto" w:sz="0" w:space="0"/>
                <w:lang w:val="en-US" w:eastAsia="zh-CN" w:bidi="ar"/>
              </w:rPr>
              <w:t> </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225" w:beforeAutospacing="0" w:after="0" w:afterAutospacing="0" w:line="23" w:lineRule="atLeast"/>
        <w:ind w:left="0" w:right="0" w:firstLine="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05187C"/>
    <w:rsid w:val="0D3E4E19"/>
    <w:rsid w:val="1C295873"/>
    <w:rsid w:val="27F34CE4"/>
    <w:rsid w:val="2905187C"/>
    <w:rsid w:val="31141F2D"/>
    <w:rsid w:val="560224F9"/>
    <w:rsid w:val="7AE42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96</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2021-04-29T01:25:00Z</dcterms:created>
  <dc:creator>Yan</dc:creator>
  <cp:lastModifiedBy>Yan</cp:lastModifiedBy>
  <dcterms:modified xsi:type="dcterms:W3CDTF">2021-04-29T03:03:43Z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1600E9E75E9C4BCA8919F7D40E27AD66</vt:lpwstr>
  </property>
</Properties>
</file>