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2"/>
        <w:gridCol w:w="1728"/>
        <w:gridCol w:w="1082"/>
        <w:gridCol w:w="1838"/>
        <w:gridCol w:w="6275"/>
        <w:gridCol w:w="2163"/>
      </w:tblGrid>
      <w:tr>
        <w:tblPrEx>
          <w:shd w:val="clear" w:color="auto" w:fill="FFFFFF"/>
        </w:tblPrEx>
        <w:trPr>
          <w:trHeight w:val="3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岗位序号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学历、学位要求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所学专业要求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急诊ICU医师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急诊医学、内科学（重症医学方向）、中医学（中医内科学）、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中西医结合临床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肾内科医师1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本科/医学学士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临床医学、内科学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肾病方向、高级职称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肾内科医师2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内科学、临床医学、中医学（中医内科学）、中西医结合临床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肾内科方向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心血管病科医师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内科学、临床医学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心血管内科方向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神经外科医师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外科学、临床医学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神经外科方向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眼科医师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眼科学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耳鼻咽喉科医师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耳鼻咽喉科学 、临床医学（耳鼻咽喉科方向）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麻醉科医师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研究生/医学硕士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临床医学、麻醉学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医保办工作人员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公共卫生与预防医学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党政综合管理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社会医学与卫生事业管理、行政管理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中共党员</w:t>
            </w:r>
          </w:p>
        </w:tc>
      </w:tr>
      <w:tr>
        <w:trPr>
          <w:trHeight w:val="3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综合管理1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宪法学与行政法学、经济法学、法律（0351）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综合管理2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语言学及应用语言学、汉语言文字学、新闻传播学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财务会计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研究生/硕士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caps w:val="0"/>
          <w:color w:val="3D3D3D"/>
          <w:spacing w:val="0"/>
          <w:sz w:val="22"/>
          <w:szCs w:val="22"/>
          <w:bdr w:val="none" w:color="auto" w:sz="0" w:space="0"/>
          <w:shd w:val="clear" w:fill="FFFFFF"/>
        </w:rPr>
        <w:t>备注: 以上临床医生岗位需具有规培证书。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311D8C"/>
    <w:rsid w:val="1B31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2021-04-28T08:35:00Z</dcterms:created>
  <dc:creator>Administrator</dc:creator>
  <cp:lastModifiedBy>Administrator</cp:lastModifiedBy>
  <dcterms:modified xsi:type="dcterms:W3CDTF">2021-04-28T09:24:18Z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