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4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3"/>
        <w:bidi w:val="0"/>
        <w:ind w:firstLine="632" w:firstLineChars="200"/>
        <w:jc w:val="left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</w:t>
      </w:r>
      <w:r>
        <w:rPr>
          <w:rFonts w:hint="eastAsia" w:ascii="仿宋" w:hAnsi="仿宋" w:eastAsia="仿宋" w:cs="仿宋"/>
          <w:b w:val="0"/>
          <w:bCs w:val="0"/>
          <w:color w:val="000000"/>
          <w:sz w:val="30"/>
          <w:szCs w:val="30"/>
          <w:lang w:val="en-US" w:eastAsia="zh-CN"/>
        </w:rPr>
        <w:t>菏泽交通投资发展集团有限公司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招聘公告》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5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/>
        <w:ind w:firstLine="632" w:firstLineChars="2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4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4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2C141FF0"/>
    <w:rsid w:val="30F335A6"/>
    <w:rsid w:val="38FF6962"/>
    <w:rsid w:val="39871F44"/>
    <w:rsid w:val="65C155C9"/>
    <w:rsid w:val="6DF9621C"/>
    <w:rsid w:val="6F88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vechainthor</cp:lastModifiedBy>
  <dcterms:modified xsi:type="dcterms:W3CDTF">2021-01-18T02:49:55Z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