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40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42"/>
        <w:gridCol w:w="1442"/>
        <w:gridCol w:w="736"/>
        <w:gridCol w:w="826"/>
        <w:gridCol w:w="189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单位名称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岗位名称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拟招聘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人数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符合条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件人数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处理意见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湖州吴兴城市投资发展集团有限公司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项目管理部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工程造价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湖州吴兴产业投资发展集团有限公司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审计专员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湖州吴兴产业投资发展集团有限公司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产业招商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专员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湖州新型城市投资发展集团有限公司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战略规划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专员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湖州吴兴交通旅游投资发展集团有限公司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工程审计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湖州吴兴交通旅游投资发展集团有限公司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投资专员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湖州吴兴交通旅游投资发展集团有限公司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造价管理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湖州吴兴交通旅游投资发展集团有限公司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主办会计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湖州吴兴经开建设投资发展有限公司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法务专员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0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湖州市吴兴区发展改革和经济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信息化局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综合管理3</w:t>
            </w:r>
          </w:p>
        </w:tc>
        <w:tc>
          <w:tcPr>
            <w:tcW w:w="7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8"/>
                <w:szCs w:val="18"/>
              </w:rPr>
              <w:t>取消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393939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1"/>
          <w:szCs w:val="21"/>
          <w:shd w:val="clear" w:fill="FFFFFF"/>
        </w:rPr>
        <w:t>    招聘岗位取消的，考生自接到通知起24小时内可改报其他岗位。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54643"/>
    <w:rsid w:val="3775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2021-04-15T07:37:00Z</dcterms:created>
  <dc:creator>Administrator</dc:creator>
  <cp:lastModifiedBy>Administrator</cp:lastModifiedBy>
  <dcterms:modified xsi:type="dcterms:W3CDTF">2021-04-15T07:54:27Z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