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1A" w:rsidRPr="000137FF" w:rsidRDefault="006C151A" w:rsidP="006C151A">
      <w:pPr>
        <w:widowControl/>
        <w:spacing w:line="500" w:lineRule="exact"/>
        <w:jc w:val="center"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  <w:bookmarkStart w:id="0" w:name="_GoBack"/>
      <w:r w:rsidRPr="000137FF">
        <w:rPr>
          <w:rFonts w:ascii="华文中宋" w:eastAsia="华文中宋" w:hAnsi="华文中宋" w:cs="宋体" w:hint="eastAsia"/>
          <w:color w:val="000000"/>
          <w:kern w:val="0"/>
          <w:sz w:val="30"/>
          <w:szCs w:val="30"/>
        </w:rPr>
        <w:t>2021年昌邑市妇幼保健院控制总量内人员需求计划表</w:t>
      </w:r>
    </w:p>
    <w:bookmarkEnd w:id="0"/>
    <w:p w:rsidR="006C151A" w:rsidRPr="000137FF" w:rsidRDefault="006C151A" w:rsidP="006C151A">
      <w:pPr>
        <w:widowControl/>
        <w:spacing w:line="50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4"/>
        </w:rPr>
      </w:pPr>
    </w:p>
    <w:tbl>
      <w:tblPr>
        <w:tblW w:w="9228" w:type="dxa"/>
        <w:tblInd w:w="94" w:type="dxa"/>
        <w:tblLook w:val="04A0" w:firstRow="1" w:lastRow="0" w:firstColumn="1" w:lastColumn="0" w:noHBand="0" w:noVBand="1"/>
      </w:tblPr>
      <w:tblGrid>
        <w:gridCol w:w="1574"/>
        <w:gridCol w:w="1984"/>
        <w:gridCol w:w="709"/>
        <w:gridCol w:w="1613"/>
        <w:gridCol w:w="1420"/>
        <w:gridCol w:w="1928"/>
      </w:tblGrid>
      <w:tr w:rsidR="006C151A" w:rsidRPr="00665BB8" w:rsidTr="002B2768">
        <w:trPr>
          <w:trHeight w:val="8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65BB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65BB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65BB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65BB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65BB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学位要求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65BB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其他条件及要求</w:t>
            </w:r>
          </w:p>
        </w:tc>
      </w:tr>
      <w:tr w:rsidR="006C151A" w:rsidRPr="00665BB8" w:rsidTr="002B2768">
        <w:trPr>
          <w:trHeight w:val="137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临床科室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临床医学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学士及以上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本科非第一学历的，</w:t>
            </w:r>
            <w:r w:rsidRPr="000137F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需具有执业医师资格</w:t>
            </w:r>
          </w:p>
        </w:tc>
      </w:tr>
      <w:tr w:rsidR="006C151A" w:rsidRPr="00665BB8" w:rsidTr="002B2768">
        <w:trPr>
          <w:trHeight w:val="127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麻醉科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临床医学或麻醉学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学士及以上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本科非第一学历的，需具有执业医师</w:t>
            </w:r>
            <w:r w:rsidRPr="000137F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资格</w:t>
            </w:r>
          </w:p>
        </w:tc>
      </w:tr>
      <w:tr w:rsidR="006C151A" w:rsidRPr="00665BB8" w:rsidTr="002B2768">
        <w:trPr>
          <w:trHeight w:val="147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放射科或超声科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医学影像学或</w:t>
            </w: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放射医学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学士及以上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本科非第一学历的，需具有执业医师</w:t>
            </w:r>
            <w:r w:rsidRPr="000137F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资格</w:t>
            </w:r>
          </w:p>
        </w:tc>
      </w:tr>
      <w:tr w:rsidR="006C151A" w:rsidRPr="00665BB8" w:rsidTr="002B2768">
        <w:trPr>
          <w:trHeight w:val="117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0137F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康复医学</w:t>
            </w: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中医学</w:t>
            </w:r>
            <w:r w:rsidRPr="000137F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或针灸推拿学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学士及以上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本科非第一学历的，需具有中医专业执业医师</w:t>
            </w:r>
            <w:r w:rsidRPr="000137F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资格</w:t>
            </w:r>
          </w:p>
        </w:tc>
      </w:tr>
      <w:tr w:rsidR="006C151A" w:rsidRPr="00665BB8" w:rsidTr="002B2768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行政科室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劳动与社会保障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学士及以上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1A" w:rsidRPr="00665BB8" w:rsidRDefault="006C151A" w:rsidP="002B2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65BB8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F33E56" w:rsidRPr="006C151A" w:rsidRDefault="00F33E56" w:rsidP="006C151A"/>
    <w:sectPr w:rsidR="00F33E56" w:rsidRPr="006C151A" w:rsidSect="00141E37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60B95"/>
    <w:rsid w:val="000A0EC0"/>
    <w:rsid w:val="00133B73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6C151A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微软中国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2021-04-14T10:39:00Z</dcterms:created>
  <dcterms:modified xsi:type="dcterms:W3CDTF">2021-04-14T10:39:00Z</dcterms:modified>
</cp:coreProperties>
</file>