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岗位及专业要求：</w:t>
      </w:r>
    </w:p>
    <w:tbl>
      <w:tblPr>
        <w:tblW w:w="80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"/>
        <w:gridCol w:w="1100"/>
        <w:gridCol w:w="1060"/>
        <w:gridCol w:w="3300"/>
        <w:gridCol w:w="12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科室名称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18"/>
                <w:szCs w:val="18"/>
                <w:bdr w:val="none" w:color="auto" w:sz="0" w:space="0"/>
              </w:rPr>
              <w:t>学历学位要求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计划数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呼吸内科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博士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呼吸内科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消化内科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博士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消化内科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内分泌内科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博士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内分泌内科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妇产科学系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B超医师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硕士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妇产科学、超声影像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综合医疗科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博士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内科相关专业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儿科学系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博士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儿科学、重症医学、肿瘤学、感染病学、内科学、神经病学（精神、睡眠、心理）等临床医学相关专业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32A9E"/>
    <w:rsid w:val="5853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2021-04-12T02:41:00Z</dcterms:created>
  <dc:creator>Administrator</dc:creator>
  <cp:lastModifiedBy>Administrator</cp:lastModifiedBy>
  <dcterms:modified xsi:type="dcterms:W3CDTF">2021-04-12T03:05:44Z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