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附件3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温州建设集团有限公司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基本素质与履历业绩评价表</w:t>
      </w:r>
      <w:bookmarkEnd w:id="0"/>
    </w:p>
    <w:p>
      <w:pPr>
        <w:wordWrap w:val="0"/>
        <w:jc w:val="right"/>
        <w:rPr>
          <w:rFonts w:hint="eastAsia" w:ascii="仿宋_GB2312" w:hAnsi="宋体" w:eastAsia="仿宋_GB2312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Cs w:val="21"/>
          <w:lang w:val="en-US" w:eastAsia="zh-CN"/>
        </w:rPr>
        <w:t>年   月   日</w:t>
      </w:r>
    </w:p>
    <w:tbl>
      <w:tblPr>
        <w:tblStyle w:val="3"/>
        <w:tblW w:w="10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1775"/>
        <w:gridCol w:w="1237"/>
        <w:gridCol w:w="1277"/>
        <w:gridCol w:w="1385"/>
        <w:gridCol w:w="1869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应聘者姓名</w:t>
            </w: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Cs w:val="21"/>
                <w:lang w:eastAsia="zh-CN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应聘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岗位</w:t>
            </w:r>
          </w:p>
        </w:tc>
        <w:tc>
          <w:tcPr>
            <w:tcW w:w="3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评价指标</w:t>
            </w: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评分标准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分值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说明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考核得分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学历学位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（20%）</w:t>
            </w: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全日制大专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6</w:t>
            </w:r>
          </w:p>
        </w:tc>
        <w:tc>
          <w:tcPr>
            <w:tcW w:w="18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1.以最高学历计算，不重复计分；</w:t>
            </w:r>
          </w:p>
          <w:p>
            <w:pPr>
              <w:spacing w:line="240" w:lineRule="auto"/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2.国外获得的学历学位，需经教育部出国留学服务中心认定，为全日制学历。</w:t>
            </w:r>
          </w:p>
          <w:p>
            <w:pPr>
              <w:spacing w:line="240" w:lineRule="auto"/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非全日制大学本科</w:t>
            </w:r>
          </w:p>
        </w:tc>
        <w:tc>
          <w:tcPr>
            <w:tcW w:w="13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全日制大学本科</w:t>
            </w:r>
          </w:p>
        </w:tc>
        <w:tc>
          <w:tcPr>
            <w:tcW w:w="13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highlight w:val="none"/>
                <w:lang w:val="en-US" w:eastAsia="zh-CN"/>
              </w:rPr>
              <w:t>11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“985”“211”等重点大学全日制本科</w:t>
            </w:r>
          </w:p>
        </w:tc>
        <w:tc>
          <w:tcPr>
            <w:tcW w:w="13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highlight w:val="none"/>
                <w:lang w:val="en-US" w:eastAsia="zh-CN"/>
              </w:rPr>
              <w:t>13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在职研究生</w:t>
            </w:r>
          </w:p>
        </w:tc>
        <w:tc>
          <w:tcPr>
            <w:tcW w:w="13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highlight w:val="none"/>
                <w:lang w:val="en-US" w:eastAsia="zh-CN"/>
              </w:rPr>
              <w:t>15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全日制硕士研究生</w:t>
            </w:r>
          </w:p>
        </w:tc>
        <w:tc>
          <w:tcPr>
            <w:tcW w:w="13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highlight w:val="none"/>
                <w:lang w:val="en-US" w:eastAsia="zh-CN"/>
              </w:rPr>
              <w:t>18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“985”“211”等重点大学全日制硕士研究生</w:t>
            </w:r>
          </w:p>
        </w:tc>
        <w:tc>
          <w:tcPr>
            <w:tcW w:w="13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职称</w:t>
            </w:r>
          </w:p>
          <w:p>
            <w:pPr>
              <w:spacing w:line="24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（20%）</w:t>
            </w: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中级职称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12</w:t>
            </w:r>
          </w:p>
        </w:tc>
        <w:tc>
          <w:tcPr>
            <w:tcW w:w="18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职称与应聘岗位相关，按最高计分证书计算，不重复计分。</w:t>
            </w: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副高级职称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正高级职称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20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任职资格</w:t>
            </w:r>
          </w:p>
          <w:p>
            <w:pPr>
              <w:spacing w:line="24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（10%）</w:t>
            </w: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二级注册类执业资格证书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5</w:t>
            </w:r>
          </w:p>
        </w:tc>
        <w:tc>
          <w:tcPr>
            <w:tcW w:w="18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按持有最高级别证书计算，不重复计分</w:t>
            </w: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一级注册类执业资格证书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10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工作经历</w:t>
            </w:r>
          </w:p>
          <w:p>
            <w:pPr>
              <w:spacing w:line="24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（20%）</w:t>
            </w: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每满一年工作经历计1分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20</w:t>
            </w:r>
          </w:p>
        </w:tc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20分为上限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任职经历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（30%）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一级建筑类企业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/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部门副职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部门正职</w:t>
            </w:r>
          </w:p>
        </w:tc>
        <w:tc>
          <w:tcPr>
            <w:tcW w:w="18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1.每一职级任职经历按最高年限计分；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2.各职级任职经历累计相加，最高30分；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3.任职经历需提供单位任命文件。</w:t>
            </w: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国企事业单位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副股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正股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副科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不满2年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/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6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满2年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6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9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满5年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6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9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12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满10年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9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12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15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10年以上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12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15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18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评价</w:t>
            </w:r>
          </w:p>
        </w:tc>
        <w:tc>
          <w:tcPr>
            <w:tcW w:w="4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righ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考核得分</w:t>
            </w:r>
          </w:p>
        </w:tc>
        <w:tc>
          <w:tcPr>
            <w:tcW w:w="3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right"/>
              <w:rPr>
                <w:rFonts w:ascii="仿宋_GB2312" w:hAnsi="宋体" w:eastAsia="仿宋_GB2312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55CC4"/>
    <w:rsid w:val="3595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1"/>
      <w:szCs w:val="31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2021-04-07T06:16:00Z</dcterms:created>
  <dc:creator>lm</dc:creator>
  <cp:lastModifiedBy>lm</cp:lastModifiedBy>
  <dcterms:modified xsi:type="dcterms:W3CDTF">2021-04-07T06:16:50Z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