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rPr>
          <w:sz w:val="32"/>
          <w:szCs w:val="32"/>
        </w:rPr>
      </w:pPr>
      <w:bookmarkStart w:id="0" w:name="_GoBack"/>
      <w:r>
        <w:rPr>
          <w:sz w:val="32"/>
          <w:szCs w:val="32"/>
        </w:rPr>
        <w:t>国家卫生健康委医药卫生科技发展研究中心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en-US" w:eastAsia="zh-CN" w:bidi="ar"/>
        </w:rPr>
        <w:t>招聘岗位</w:t>
      </w:r>
    </w:p>
    <w:bookmarkEnd w:id="0"/>
    <w:tbl>
      <w:tblPr>
        <w:tblW w:w="1115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57"/>
        <w:gridCol w:w="6593"/>
        <w:gridCol w:w="1843"/>
        <w:gridCol w:w="10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" w:hRule="atLeast"/>
          <w:jc w:val="center"/>
        </w:trPr>
        <w:tc>
          <w:tcPr>
            <w:tcW w:w="165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岗位名称</w:t>
            </w:r>
          </w:p>
        </w:tc>
        <w:tc>
          <w:tcPr>
            <w:tcW w:w="659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岗位职责</w:t>
            </w:r>
          </w:p>
        </w:tc>
        <w:tc>
          <w:tcPr>
            <w:tcW w:w="18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岗位类别</w:t>
            </w:r>
          </w:p>
        </w:tc>
        <w:tc>
          <w:tcPr>
            <w:tcW w:w="10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61" w:hRule="atLeast"/>
          <w:jc w:val="center"/>
        </w:trPr>
        <w:tc>
          <w:tcPr>
            <w:tcW w:w="16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财务处处长</w:t>
            </w:r>
          </w:p>
        </w:tc>
        <w:tc>
          <w:tcPr>
            <w:tcW w:w="65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贯彻执行国家和上级部门有关财务法律规章，全面负责中心财务工作；负责建立健全各项财务规章制度，实施中心日常财务管理。组织研究中心资金使用、年度预算和税务工作，管控财务风险。协调税务、银行、审计机构等外部关系，负责单位项目实施进度和专项资金使用管理工作，监督项目实施效果。做好财务、资产、债权债务及档案管理工作，组织领导财务人员的思想、业务培训学习。完成单位领导交办的其他工作。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管理五级岗位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4524E2"/>
    <w:rsid w:val="074524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disabled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2021-04-07T09:59:00Z</dcterms:created>
  <dc:creator>WPS_1609033458</dc:creator>
  <cp:lastModifiedBy>WPS_1609033458</cp:lastModifiedBy>
  <dcterms:modified xsi:type="dcterms:W3CDTF">2021-04-07T09:59:58Z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9B8275632367444EA073808DF10FDB27</vt:lpwstr>
  </property>
</Properties>
</file>