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84"/>
        <w:gridCol w:w="764"/>
        <w:gridCol w:w="473"/>
        <w:gridCol w:w="1887"/>
        <w:gridCol w:w="1423"/>
        <w:gridCol w:w="2891"/>
      </w:tblGrid>
      <w:tr w:rsidR="003702B4" w:rsidRPr="003702B4" w:rsidTr="003702B4">
        <w:trPr>
          <w:trHeight w:val="1260"/>
          <w:jc w:val="center"/>
        </w:trPr>
        <w:tc>
          <w:tcPr>
            <w:tcW w:w="15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科室</w:t>
            </w:r>
          </w:p>
        </w:tc>
        <w:tc>
          <w:tcPr>
            <w:tcW w:w="13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岗位</w:t>
            </w:r>
          </w:p>
        </w:tc>
        <w:tc>
          <w:tcPr>
            <w:tcW w:w="7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数量</w:t>
            </w:r>
          </w:p>
        </w:tc>
        <w:tc>
          <w:tcPr>
            <w:tcW w:w="33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学历</w:t>
            </w:r>
          </w:p>
        </w:tc>
        <w:tc>
          <w:tcPr>
            <w:tcW w:w="241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招聘专业</w:t>
            </w:r>
          </w:p>
        </w:tc>
        <w:tc>
          <w:tcPr>
            <w:tcW w:w="51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资格条件</w:t>
            </w:r>
          </w:p>
        </w:tc>
      </w:tr>
      <w:tr w:rsidR="003702B4" w:rsidRPr="003702B4" w:rsidTr="003702B4">
        <w:trPr>
          <w:trHeight w:val="1260"/>
          <w:jc w:val="center"/>
        </w:trPr>
        <w:tc>
          <w:tcPr>
            <w:tcW w:w="15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病案管理中心</w:t>
            </w:r>
          </w:p>
        </w:tc>
        <w:tc>
          <w:tcPr>
            <w:tcW w:w="13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病案编码员</w:t>
            </w:r>
          </w:p>
        </w:tc>
        <w:tc>
          <w:tcPr>
            <w:tcW w:w="7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取得国家教育部认可的普通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高等教育全日制本科及以上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学历，并同时获得相应学位</w:t>
            </w:r>
          </w:p>
        </w:tc>
        <w:tc>
          <w:tcPr>
            <w:tcW w:w="241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信息管理与信息系统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卫生统计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临床医学</w:t>
            </w:r>
          </w:p>
        </w:tc>
        <w:tc>
          <w:tcPr>
            <w:tcW w:w="51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无</w:t>
            </w:r>
          </w:p>
        </w:tc>
      </w:tr>
      <w:tr w:rsidR="003702B4" w:rsidRPr="003702B4" w:rsidTr="003702B4">
        <w:trPr>
          <w:trHeight w:val="1260"/>
          <w:jc w:val="center"/>
        </w:trPr>
        <w:tc>
          <w:tcPr>
            <w:tcW w:w="15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神经电生理室</w:t>
            </w:r>
          </w:p>
        </w:tc>
        <w:tc>
          <w:tcPr>
            <w:tcW w:w="130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检查医师</w:t>
            </w:r>
          </w:p>
        </w:tc>
        <w:tc>
          <w:tcPr>
            <w:tcW w:w="7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3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取得国家教育部认可的普通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高等教育全日制本科及以上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学历，并同时获得相应学位</w:t>
            </w:r>
          </w:p>
        </w:tc>
        <w:tc>
          <w:tcPr>
            <w:tcW w:w="241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 临床医学</w:t>
            </w:r>
          </w:p>
        </w:tc>
        <w:tc>
          <w:tcPr>
            <w:tcW w:w="514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3702B4" w:rsidRPr="003702B4" w:rsidRDefault="003702B4" w:rsidP="003702B4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 ① 须同时取得医师资格证和医师执业证。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 ② 本科学历者须取得国家认可的住院医师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 规范化培训合格证书（2021年规培结业者</w:t>
            </w: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 必须在2021年9月前取得国家认可的住院</w:t>
            </w:r>
          </w:p>
          <w:p w:rsidR="003702B4" w:rsidRPr="003702B4" w:rsidRDefault="003702B4" w:rsidP="003702B4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3702B4">
              <w:rPr>
                <w:rFonts w:ascii="宋体" w:eastAsia="宋体" w:hAnsi="宋体" w:cs="宋体"/>
                <w:color w:val="000000"/>
                <w:sz w:val="21"/>
                <w:szCs w:val="21"/>
              </w:rPr>
              <w:t> 医师规范化培训合格证书）。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702B4"/>
    <w:rsid w:val="00270A81"/>
    <w:rsid w:val="00323B43"/>
    <w:rsid w:val="003702B4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2021-03-30T06:14:00Z</dcterms:created>
  <dcterms:modified xsi:type="dcterms:W3CDTF">2021-03-30T06:14:00Z</dcterms:modified>
</cp:coreProperties>
</file>