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atLeas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CN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3</w:t>
      </w: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“双一流”建设高校名单</w:t>
      </w:r>
    </w:p>
    <w:p>
      <w:pPr>
        <w:spacing w:line="560" w:lineRule="exact"/>
        <w:jc w:val="center"/>
        <w:rPr>
          <w:rFonts w:eastAsia="楷体_GB2312"/>
          <w:kern w:val="0"/>
          <w:sz w:val="32"/>
          <w:szCs w:val="32"/>
        </w:rPr>
      </w:pPr>
      <w:r>
        <w:rPr>
          <w:rFonts w:eastAsia="楷体_GB2312"/>
          <w:kern w:val="0"/>
          <w:sz w:val="32"/>
          <w:szCs w:val="32"/>
        </w:rPr>
        <w:t>（按学校代码排序）</w:t>
      </w:r>
    </w:p>
    <w:p>
      <w:pPr>
        <w:pStyle w:val="2"/>
        <w:spacing w:before="0" w:after="0" w:line="320" w:lineRule="exact"/>
        <w:rPr>
          <w:rFonts w:hint="default" w:ascii="Times New Roman" w:hAnsi="Times New Roman" w:cs="Times New Roman"/>
        </w:rPr>
      </w:pP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一、一流大学建设高校42所</w:t>
      </w: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楷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1.A类36所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楷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2.B类6所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东北大学、郑州大学、湖南大学、云南大学、西北农林科技大学、新疆大学</w:t>
      </w: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二、一流学科建设高校95所</w:t>
      </w:r>
    </w:p>
    <w:p>
      <w:r>
        <w:rPr>
          <w:rFonts w:hint="default" w:ascii="Times New Roman" w:hAnsi="Times New Roman" w:eastAsia="仿宋_GB2312" w:cs="Times New Roman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1368D"/>
    <w:rsid w:val="05B1368D"/>
    <w:rsid w:val="2BE802AD"/>
    <w:rsid w:val="704B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2021-03-26T12:48:00Z</dcterms:created>
  <dc:creator>桎玖炽</dc:creator>
  <cp:lastModifiedBy>桎玖炽</cp:lastModifiedBy>
  <dcterms:modified xsi:type="dcterms:W3CDTF">2021-03-26T12:51:57Z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