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3"/>
        <w:gridCol w:w="1267"/>
        <w:gridCol w:w="1716"/>
        <w:gridCol w:w="14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6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专业名称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学习方式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复试差额比例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招生计划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  <w:lang w:val="en-US" w:eastAsia="zh-CN"/>
              </w:rPr>
              <w:t>030100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法学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全日制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不低于120%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11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  <w:lang w:val="en-US" w:eastAsia="zh-CN"/>
              </w:rPr>
              <w:t>035101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法律（非法学）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全日制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不低于120%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28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  <w:lang w:val="en-US" w:eastAsia="zh-CN"/>
              </w:rPr>
              <w:t>035102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法律（法学）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全日制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不低于120%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20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92EEF"/>
    <w:rsid w:val="6869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2021-03-24T01:57:00Z</dcterms:created>
  <dc:creator>Administrator</dc:creator>
  <cp:lastModifiedBy>Administrator</cp:lastModifiedBy>
  <dcterms:modified xsi:type="dcterms:W3CDTF">2021-03-24T02:04:06Z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