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hint="default" w:ascii="仿宋_GB2312" w:hAnsi="黑体" w:eastAsia="仿宋_GB2312" w:cs="Arial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黑体" w:eastAsia="仿宋_GB2312" w:cs="Arial"/>
          <w:kern w:val="0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right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雅安蜀天新城开发建设有限责任公司</w:t>
      </w:r>
    </w:p>
    <w:p>
      <w:pPr>
        <w:pStyle w:val="2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关于考察聘用雅安蜀天新城开发建设有限责任公司副总经理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拟聘用人员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名单</w:t>
      </w: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tbl>
      <w:tblPr>
        <w:tblStyle w:val="5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035"/>
        <w:gridCol w:w="1635"/>
        <w:gridCol w:w="1005"/>
        <w:gridCol w:w="166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32"/>
                <w:szCs w:val="32"/>
              </w:rPr>
              <w:t>面试成绩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32"/>
                <w:szCs w:val="32"/>
              </w:rPr>
              <w:t>排名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32"/>
                <w:szCs w:val="32"/>
              </w:rPr>
              <w:t>体检情况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32"/>
                <w:szCs w:val="32"/>
              </w:rPr>
              <w:t>考察情况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32"/>
                <w:szCs w:val="32"/>
                <w:lang w:val="en-US" w:eastAsia="zh-CN"/>
              </w:rPr>
              <w:t>雷昕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32"/>
                <w:szCs w:val="32"/>
                <w:lang w:val="en-US" w:eastAsia="zh-CN"/>
              </w:rPr>
              <w:t>85.60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32"/>
                <w:szCs w:val="32"/>
              </w:rPr>
              <w:t>1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32"/>
                <w:szCs w:val="32"/>
              </w:rPr>
              <w:t>合格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kern w:val="0"/>
                <w:sz w:val="32"/>
                <w:szCs w:val="32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32"/>
                <w:szCs w:val="32"/>
              </w:rPr>
              <w:t>合格</w:t>
            </w:r>
          </w:p>
        </w:tc>
      </w:tr>
    </w:tbl>
    <w:p>
      <w:pPr>
        <w:pStyle w:val="2"/>
        <w:rPr>
          <w:rFonts w:hint="eastAsia" w:ascii="黑体" w:hAnsi="黑体" w:eastAsia="黑体" w:cs="黑体"/>
          <w:b w:val="0"/>
          <w:bCs w:val="0"/>
          <w:color w:val="FF0000"/>
          <w:sz w:val="32"/>
          <w:szCs w:val="32"/>
          <w:u w:val="thick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b w:val="0"/>
          <w:bCs w:val="0"/>
          <w:color w:val="FF0000"/>
          <w:sz w:val="32"/>
          <w:szCs w:val="32"/>
          <w:u w:val="thick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b w:val="0"/>
          <w:bCs w:val="0"/>
          <w:color w:val="FF0000"/>
          <w:sz w:val="32"/>
          <w:szCs w:val="32"/>
          <w:u w:val="thick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57B08"/>
    <w:rsid w:val="400064F8"/>
    <w:rsid w:val="41557B08"/>
    <w:rsid w:val="444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hAnsi="Times New Roman"/>
      <w:szCs w:val="20"/>
    </w:rPr>
  </w:style>
  <w:style w:type="table" w:customStyle="1" w:styleId="5">
    <w:name w:val="网格型3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2021-03-17T08:24:00Z</dcterms:created>
  <dc:creator>木木娇酱</dc:creator>
  <cp:lastModifiedBy>ぺ灬cc果冻ル</cp:lastModifiedBy>
  <cp:lastPrinted>2021-03-17T08:36:00Z</cp:lastPrinted>
  <dcterms:modified xsi:type="dcterms:W3CDTF">2021-03-18T09:01:38Z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