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6" w:beforeAutospacing="0" w:after="226" w:afterAutospacing="0" w:line="401" w:lineRule="atLeast"/>
        <w:ind w:left="250" w:right="250"/>
        <w:jc w:val="center"/>
      </w:pPr>
      <w:r>
        <w:rPr>
          <w:rFonts w:hint="eastAsia" w:ascii="黑体" w:hAnsi="宋体" w:eastAsia="黑体" w:cs="黑体"/>
          <w:b/>
          <w:color w:val="CB0000"/>
          <w:sz w:val="40"/>
          <w:szCs w:val="40"/>
          <w:bdr w:val="none" w:color="auto" w:sz="0" w:space="0"/>
        </w:rPr>
        <w:t>连云港市交通控股集团有限公司</w:t>
      </w:r>
      <w:bookmarkStart w:id="0" w:name="_GoBack"/>
      <w:bookmarkEnd w:id="0"/>
      <w:r>
        <w:rPr>
          <w:rFonts w:hint="eastAsia" w:ascii="宋体" w:hAnsi="宋体" w:eastAsia="宋体" w:cs="宋体"/>
          <w:color w:val="4C4C4C"/>
          <w:sz w:val="17"/>
          <w:szCs w:val="17"/>
        </w:rPr>
        <w:t>岗位专业需求</w:t>
      </w:r>
    </w:p>
    <w:tbl>
      <w:tblPr>
        <w:tblW w:w="9718" w:type="dxa"/>
        <w:tblCellSpacing w:w="0" w:type="dxa"/>
        <w:tblInd w:w="2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2"/>
        <w:gridCol w:w="2356"/>
        <w:gridCol w:w="1045"/>
        <w:gridCol w:w="53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tblCellSpacing w:w="0" w:type="dxa"/>
        </w:trPr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序号</w:t>
            </w:r>
          </w:p>
        </w:tc>
        <w:tc>
          <w:tcPr>
            <w:tcW w:w="2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招聘岗位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招聘人数</w:t>
            </w:r>
          </w:p>
        </w:tc>
        <w:tc>
          <w:tcPr>
            <w:tcW w:w="53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招聘专业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融资专员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会计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10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财务管理、会计、金融类相关专业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2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车辆管理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技能教师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6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车辆工程、汽车服务工程、机械工程相关专业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3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电气管理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8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电气自动化技术、供用电技术、发电厂及电力系统相关专业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4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法务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7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法学、法律相关专业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5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工程管理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项目管理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5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工程造价、土木工程（道路桥梁）、工程管理相关专业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6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人力资源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3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人力资源、社会保障相关专业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7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软件工程师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6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计算机、软件工程、信息与通信工程相关专业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8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运营管理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交通运输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8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交通运输、交通工程管理、轨道交通运营管理、交通运输组织学、管理学相关专业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9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冷链物流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4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物流相关专业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10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粮食贸易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2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粮食工程、食品贮运与营销专业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tblCellSpacing w:w="0" w:type="dxa"/>
        </w:trPr>
        <w:tc>
          <w:tcPr>
            <w:tcW w:w="9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11</w:t>
            </w:r>
          </w:p>
        </w:tc>
        <w:tc>
          <w:tcPr>
            <w:tcW w:w="2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园林工程施工与管理员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1</w:t>
            </w:r>
          </w:p>
        </w:tc>
        <w:tc>
          <w:tcPr>
            <w:tcW w:w="53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188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4C4C4C"/>
                <w:sz w:val="17"/>
                <w:szCs w:val="17"/>
              </w:rPr>
              <w:t>园林相关专业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41BB9"/>
    <w:rsid w:val="5974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44"/>
      <w:sz w:val="25"/>
      <w:szCs w:val="25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4C4C4C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uiPriority w:val="0"/>
    <w:rPr>
      <w:color w:val="4C4C4C"/>
      <w:u w:val="none"/>
    </w:rPr>
  </w:style>
  <w:style w:type="character" w:styleId="9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2021-03-18T07:10:00Z</dcterms:created>
  <dc:creator>WPS_1609033458</dc:creator>
  <cp:lastModifiedBy>WPS_1609033458</cp:lastModifiedBy>
  <dcterms:modified xsi:type="dcterms:W3CDTF">2021-03-18T07:11:05Z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