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2"/>
        <w:gridCol w:w="2325"/>
        <w:gridCol w:w="2113"/>
        <w:gridCol w:w="1692"/>
      </w:tblGrid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b/>
                <w:bCs/>
                <w:sz w:val="21"/>
              </w:rPr>
              <w:t>学院</w:t>
            </w:r>
          </w:p>
        </w:tc>
        <w:tc>
          <w:tcPr>
            <w:tcW w:w="23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b/>
                <w:bCs/>
                <w:sz w:val="21"/>
              </w:rPr>
              <w:t>专业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b/>
                <w:bCs/>
                <w:sz w:val="21"/>
              </w:rPr>
              <w:t>类别</w:t>
            </w:r>
          </w:p>
        </w:tc>
        <w:tc>
          <w:tcPr>
            <w:tcW w:w="16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b/>
                <w:bCs/>
                <w:sz w:val="21"/>
              </w:rPr>
              <w:t>计划数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金融学院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应用经济学大类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学术型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商学院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工商管理大类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学术型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经济学院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经济学大类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学术型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10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管理科学与工程学院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投资学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学术型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管理科学与工程学院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管理科学与工程大类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学术型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保险学院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保险学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学术型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保险学院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精算学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学术型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政府管理学院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公共管理大类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学术型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6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马克思主义学院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马克思主义理论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学术型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财政税务学院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税务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专业硕士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财政税务学院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资产评估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专业硕士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金融学院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金融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专业硕士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会计学院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审计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专业硕士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会计学院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会计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专业硕士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信息学院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电子信息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专业硕士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法学院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法律（非法学）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专业硕士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法学院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法律（法学）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专业硕士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文化与传媒学院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宋体" w:eastAsia="宋体" w:hAnsi="宋体" w:cs="Calibri" w:hint="eastAsia"/>
                <w:sz w:val="21"/>
                <w:szCs w:val="21"/>
              </w:rPr>
              <w:t>新闻与传播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专业硕士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社会与心理学院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社会工作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专业硕士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社会与心理学院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应用心理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专业硕士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国际经济与贸易学院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国际商务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专业硕士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外国语学院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翻译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专业硕士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统计与数学学院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应用统计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专业硕士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</w:tr>
      <w:tr w:rsidR="00E007F8" w:rsidRPr="00E007F8" w:rsidTr="00E007F8">
        <w:trPr>
          <w:trHeight w:val="227"/>
          <w:jc w:val="center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国际文化交流学院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汉语国际教育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专业硕士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7F8" w:rsidRPr="00E007F8" w:rsidRDefault="00E007F8" w:rsidP="00E007F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007F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007F8"/>
    <w:rsid w:val="00323B43"/>
    <w:rsid w:val="003D37D8"/>
    <w:rsid w:val="004358AB"/>
    <w:rsid w:val="0064020C"/>
    <w:rsid w:val="006E20C1"/>
    <w:rsid w:val="008811B0"/>
    <w:rsid w:val="008B7726"/>
    <w:rsid w:val="00B600C9"/>
    <w:rsid w:val="00B952C0"/>
    <w:rsid w:val="00CF7209"/>
    <w:rsid w:val="00E007F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6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2021-03-17T01:47:00Z</dcterms:created>
  <dcterms:modified xsi:type="dcterms:W3CDTF">2021-03-17T01:47:00Z</dcterms:modified>
</cp:coreProperties>
</file>