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1：</w:t>
      </w:r>
    </w:p>
    <w:p>
      <w:pPr>
        <w:pStyle w:val="2"/>
        <w:widowControl/>
        <w:spacing w:beforeAutospacing="0" w:afterAutospacing="0" w:line="560" w:lineRule="exact"/>
        <w:jc w:val="center"/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CN"/>
        </w:rPr>
        <w:t>昆明市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呈贡区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CN"/>
        </w:rPr>
        <w:t>住建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局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公开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招聘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劳务派遣制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CN"/>
        </w:rPr>
        <w:t>工作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人员</w:t>
      </w:r>
    </w:p>
    <w:p>
      <w:pPr>
        <w:pStyle w:val="2"/>
        <w:widowControl/>
        <w:spacing w:beforeAutospacing="0" w:afterAutospacing="0" w:line="560" w:lineRule="exact"/>
        <w:jc w:val="center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岗位设置表</w:t>
      </w:r>
    </w:p>
    <w:bookmarkEnd w:id="0"/>
    <w:tbl>
      <w:tblPr>
        <w:tblStyle w:val="3"/>
        <w:tblW w:w="0" w:type="auto"/>
        <w:tblInd w:w="-1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955"/>
        <w:gridCol w:w="4227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3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岗位</w:t>
            </w:r>
          </w:p>
          <w:p>
            <w:pPr>
              <w:pStyle w:val="2"/>
              <w:widowControl/>
              <w:spacing w:beforeAutospacing="0" w:afterAutospacing="0" w:line="5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5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岗位人数</w:t>
            </w:r>
          </w:p>
        </w:tc>
        <w:tc>
          <w:tcPr>
            <w:tcW w:w="4227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薪酬待遇</w:t>
            </w:r>
          </w:p>
        </w:tc>
        <w:tc>
          <w:tcPr>
            <w:tcW w:w="2767" w:type="dxa"/>
            <w:noWrap w:val="0"/>
            <w:vAlign w:val="center"/>
          </w:tcPr>
          <w:p>
            <w:pPr>
              <w:pStyle w:val="2"/>
              <w:widowControl/>
              <w:spacing w:beforeAutospacing="0" w:afterAutospacing="0" w:line="5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atLeast"/>
        </w:trPr>
        <w:tc>
          <w:tcPr>
            <w:tcW w:w="12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消防专项工作人员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2人</w:t>
            </w:r>
          </w:p>
        </w:tc>
        <w:tc>
          <w:tcPr>
            <w:tcW w:w="422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00" w:lineRule="exact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试用期不低于3200元/月，试用期满薪酬为6000元/月（含国家规定办理的社会保险费单位及个人部分）。</w:t>
            </w:r>
          </w:p>
        </w:tc>
        <w:tc>
          <w:tcPr>
            <w:tcW w:w="276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持二级以上建筑、消防工程相关注册工程师证者不受专业限制。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12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建筑工程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专业技术人员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auto"/>
              <w:rPr>
                <w:rFonts w:hint="default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（建设工程质量安全监督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辅助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员）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8"/>
                <w:sz w:val="32"/>
                <w:szCs w:val="32"/>
                <w:lang w:val="en-US" w:eastAsia="zh-CN"/>
              </w:rPr>
              <w:t>3人</w:t>
            </w:r>
          </w:p>
        </w:tc>
        <w:tc>
          <w:tcPr>
            <w:tcW w:w="422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试用期薪酬3000元/月，试用期满转正后薪酬为4900-6600元/月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（含国家规定办理的社会保险费单位及个人部分），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具体根据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工作实绩情况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进行考核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，按照相关管理规定发放。</w:t>
            </w:r>
          </w:p>
        </w:tc>
        <w:tc>
          <w:tcPr>
            <w:tcW w:w="276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auto"/>
              <w:rPr>
                <w:rFonts w:hint="default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持二级以上建筑、消防工程相关注册工程师证者、通过法律资格考试取得相关证书者，不受学历及专业限制。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highlight w:val="none"/>
                <w:lang w:val="en-US" w:eastAsia="zh-CN"/>
              </w:rPr>
              <w:t>有相关工作经验者优先。</w:t>
            </w:r>
          </w:p>
        </w:tc>
      </w:tr>
    </w:tbl>
    <w:p>
      <w:pPr>
        <w:pStyle w:val="2"/>
        <w:widowControl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02C0F"/>
    <w:rsid w:val="1FD0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2021-03-03T07:02:00Z</dcterms:created>
  <dc:creator>＊＊＊＊＊＊</dc:creator>
  <cp:lastModifiedBy>＊＊＊＊＊＊</cp:lastModifiedBy>
  <dcterms:modified xsi:type="dcterms:W3CDTF">2021-03-03T07:04:21Z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