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2"/>
        <w:gridCol w:w="1023"/>
        <w:gridCol w:w="1023"/>
        <w:gridCol w:w="1038"/>
        <w:gridCol w:w="4216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2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　　村主干（3名）</w:t>
            </w:r>
          </w:p>
        </w:tc>
        <w:tc>
          <w:tcPr>
            <w:tcW w:w="32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　　社区主干（7名）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　　集美</w:t>
            </w:r>
          </w:p>
        </w:tc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　　海沧</w:t>
            </w:r>
          </w:p>
        </w:tc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　　同安</w:t>
            </w:r>
          </w:p>
        </w:tc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　　翔安</w:t>
            </w:r>
          </w:p>
        </w:tc>
        <w:tc>
          <w:tcPr>
            <w:tcW w:w="321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　　面向全市符合资格条件的社区主干招聘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　　1</w:t>
            </w:r>
          </w:p>
        </w:tc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　　-</w:t>
            </w:r>
          </w:p>
        </w:tc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　　1</w:t>
            </w:r>
          </w:p>
        </w:tc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　　1</w:t>
            </w:r>
          </w:p>
        </w:tc>
        <w:tc>
          <w:tcPr>
            <w:tcW w:w="321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</w:rPr>
        <w:t>　　公务员专项考录工作完成后，根据上述定向名额从面试落选且考试成绩合格人员中，择优确定事业单位体检人选。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</w:rPr>
        <w:t>　　对报考同一岗位的面试人选考试总成绩相同者，采取以下办法：如村（社区）主干所在区的镇（街）事业单位还有空缺用编计划的，由区委组织部申报，经报市委组织部批准予以同时进入体检、考察，均合格的同时聘用。如没有空缺用编计划的，名次按笔试成绩排列；若笔试成绩相同，则按笔试卷面成绩排列；若笔试卷面成绩相同，则加试一场面试，名次按加试的面试成绩排列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B958BC"/>
    <w:rsid w:val="5BBB08D0"/>
    <w:rsid w:val="6DB958BC"/>
    <w:rsid w:val="77CC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800080"/>
      <w:u w:val="none"/>
    </w:rPr>
  </w:style>
  <w:style w:type="character" w:styleId="6">
    <w:name w:val="Hyperlink"/>
    <w:basedOn w:val="4"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2021-02-01T11:20:00Z</dcterms:created>
  <dc:creator>ぺ灬cc果冻ル</dc:creator>
  <cp:lastModifiedBy>ぺ灬cc果冻ル</cp:lastModifiedBy>
  <dcterms:modified xsi:type="dcterms:W3CDTF">2021-02-01T11:25:05Z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