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rPr>
          <w:rFonts w:ascii="微软雅黑" w:hAnsi="微软雅黑" w:eastAsia="微软雅黑" w:cs="微软雅黑"/>
          <w:i w:val="0"/>
          <w:caps w:val="0"/>
          <w:color w:val="4E5A69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4E5A69"/>
          <w:spacing w:val="0"/>
          <w:sz w:val="24"/>
          <w:szCs w:val="24"/>
          <w:bdr w:val="none" w:color="auto" w:sz="0" w:space="0"/>
          <w:shd w:val="clear" w:fill="FFFFFF"/>
        </w:rPr>
        <w:t>（各专业招生人数待上级部门下达计划后，根据指标情况进行分配调整）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专业名称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专业名称</w:t>
            </w:r>
          </w:p>
        </w:tc>
        <w:tc>
          <w:tcPr>
            <w:tcW w:w="14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14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6100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助理全科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0100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2000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临床病理科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0700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0900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1700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0200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皮肤科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1800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1600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2200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1900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0800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康复医学科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2300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超声医学科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0300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1400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E5A69"/>
                <w:spacing w:val="0"/>
                <w:sz w:val="24"/>
                <w:szCs w:val="24"/>
                <w:bdr w:val="none" w:color="auto" w:sz="0" w:space="0"/>
              </w:rPr>
              <w:t>2800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口腔全科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314EA"/>
    <w:rsid w:val="19C035D1"/>
    <w:rsid w:val="68141FAA"/>
    <w:rsid w:val="7D33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2021-01-29T01:51:00Z</dcterms:created>
  <dc:creator>ぺ灬cc果冻ル</dc:creator>
  <cp:lastModifiedBy>ぺ灬cc果冻ル</cp:lastModifiedBy>
  <dcterms:modified xsi:type="dcterms:W3CDTF">2021-01-29T02:05:55Z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