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29" w:rsidRDefault="00E20C29" w:rsidP="00E20C29">
      <w:pPr>
        <w:jc w:val="center"/>
        <w:rPr>
          <w:rFonts w:ascii="方正小标宋_GBK" w:eastAsia="方正小标宋_GBK" w:hint="eastAsia"/>
          <w:sz w:val="44"/>
          <w:szCs w:val="44"/>
        </w:rPr>
      </w:pPr>
      <w:bookmarkStart w:id="0" w:name="_GoBack"/>
      <w:r>
        <w:rPr>
          <w:rFonts w:ascii="方正小标宋_GBK" w:eastAsia="方正小标宋_GBK" w:hint="eastAsia"/>
          <w:sz w:val="40"/>
          <w:szCs w:val="40"/>
        </w:rPr>
        <w:t>凤庆县</w:t>
      </w:r>
      <w:r>
        <w:rPr>
          <w:rFonts w:ascii="方正小标宋_GBK" w:eastAsia="方正小标宋_GBK"/>
          <w:sz w:val="40"/>
          <w:szCs w:val="40"/>
        </w:rPr>
        <w:t>政府专职</w:t>
      </w:r>
      <w:r>
        <w:rPr>
          <w:rFonts w:ascii="方正小标宋_GBK" w:eastAsia="方正小标宋_GBK" w:hint="eastAsia"/>
          <w:sz w:val="40"/>
          <w:szCs w:val="40"/>
        </w:rPr>
        <w:t>消防</w:t>
      </w:r>
      <w:r>
        <w:rPr>
          <w:rFonts w:ascii="方正小标宋_GBK" w:eastAsia="方正小标宋_GBK"/>
          <w:sz w:val="40"/>
          <w:szCs w:val="40"/>
        </w:rPr>
        <w:t>员招收计划表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6"/>
        <w:gridCol w:w="1023"/>
        <w:gridCol w:w="1026"/>
        <w:gridCol w:w="5678"/>
      </w:tblGrid>
      <w:tr w:rsidR="00E20C29" w:rsidTr="00DA71CC">
        <w:trPr>
          <w:trHeight w:val="565"/>
          <w:jc w:val="center"/>
        </w:trPr>
        <w:tc>
          <w:tcPr>
            <w:tcW w:w="1766" w:type="dxa"/>
            <w:vAlign w:val="center"/>
          </w:tcPr>
          <w:bookmarkEnd w:id="0"/>
          <w:p w:rsidR="00E20C29" w:rsidRDefault="00E20C29" w:rsidP="00DA71CC">
            <w:pPr>
              <w:spacing w:line="42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招录单位</w:t>
            </w: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32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招聘人数</w:t>
            </w: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32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岗位类别</w:t>
            </w: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岗位条件</w:t>
            </w:r>
          </w:p>
        </w:tc>
      </w:tr>
      <w:tr w:rsidR="00E20C29" w:rsidTr="00DA71CC">
        <w:trPr>
          <w:trHeight w:val="90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凤庆县消防二中队</w:t>
            </w: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23</w:t>
            </w: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战斗员</w:t>
            </w: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1.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限男性；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2.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服从管理，吃苦耐劳，具备正常履行岗位职责和参加执勤训练的工作能力；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3.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能够适应</w:t>
            </w: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24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小时备勤值班工作；</w:t>
            </w:r>
          </w:p>
          <w:p w:rsidR="00E20C29" w:rsidRDefault="00E20C29" w:rsidP="00DA71CC">
            <w:pPr>
              <w:spacing w:line="260" w:lineRule="exact"/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4.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高中（中专）以上学历，退伍军人、具有专职消防队工作经历或职业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院校消防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及相关专业毕业生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pacing w:val="-20"/>
                <w:sz w:val="24"/>
                <w:szCs w:val="24"/>
              </w:rPr>
              <w:t>优先录用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。</w:t>
            </w:r>
          </w:p>
        </w:tc>
      </w:tr>
      <w:tr w:rsidR="00E20C29" w:rsidTr="00DA71CC">
        <w:trPr>
          <w:trHeight w:val="762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3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凤庆县消防二中队</w:t>
            </w: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30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保障</w:t>
            </w:r>
          </w:p>
          <w:p w:rsidR="00E20C29" w:rsidRDefault="00E20C29" w:rsidP="00DA71CC">
            <w:pPr>
              <w:spacing w:line="300" w:lineRule="exact"/>
              <w:jc w:val="center"/>
              <w:rPr>
                <w:rFonts w:ascii="方正黑体_GBK" w:eastAsia="方正黑体_GBK" w:hAnsi="方正黑体_GBK" w:cs="方正黑体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人员</w:t>
            </w: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1.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限女性；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2.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能够适应备勤值班工作；</w:t>
            </w:r>
          </w:p>
          <w:p w:rsidR="00E20C29" w:rsidRDefault="00E20C29" w:rsidP="00DA71CC">
            <w:pPr>
              <w:spacing w:line="260" w:lineRule="exact"/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>3.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全日制大学专科以上学历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</w:tr>
      <w:tr w:rsidR="00E20C29" w:rsidTr="00DA71CC">
        <w:trPr>
          <w:trHeight w:val="1314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  <w:t>鲁史镇政府专职消防队</w:t>
            </w: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战斗员</w:t>
            </w: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1.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限男性；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2.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服从管理，吃苦耐劳，具备正常履行岗位职责和参加执勤训练的工作能力；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3.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能够适应</w:t>
            </w: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24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小时备勤值班工作；</w:t>
            </w:r>
          </w:p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pacing w:val="-20"/>
                <w:sz w:val="24"/>
                <w:szCs w:val="24"/>
              </w:rPr>
              <w:t>4.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高中（中专）以上学历，退伍军人、具有专职消防队工作经历或职业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院校消防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及相关专业毕业生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pacing w:val="-20"/>
                <w:sz w:val="24"/>
                <w:szCs w:val="24"/>
              </w:rPr>
              <w:t>优先录用</w:t>
            </w:r>
            <w:r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  <w:t>。</w:t>
            </w:r>
          </w:p>
        </w:tc>
      </w:tr>
      <w:tr w:rsidR="00E20C29" w:rsidTr="00DA71CC">
        <w:trPr>
          <w:trHeight w:val="1360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</w:p>
        </w:tc>
      </w:tr>
      <w:tr w:rsidR="00E20C29" w:rsidTr="00DA71CC">
        <w:trPr>
          <w:trHeight w:val="1314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</w:p>
        </w:tc>
        <w:tc>
          <w:tcPr>
            <w:tcW w:w="5678" w:type="dxa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</w:p>
        </w:tc>
      </w:tr>
      <w:tr w:rsidR="00E20C29" w:rsidTr="00DA71CC">
        <w:trPr>
          <w:trHeight w:val="387"/>
          <w:jc w:val="center"/>
        </w:trPr>
        <w:tc>
          <w:tcPr>
            <w:tcW w:w="1766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  <w:t>合计</w:t>
            </w:r>
          </w:p>
        </w:tc>
        <w:tc>
          <w:tcPr>
            <w:tcW w:w="1023" w:type="dxa"/>
            <w:vAlign w:val="center"/>
          </w:tcPr>
          <w:p w:rsidR="00E20C29" w:rsidRDefault="00E20C29" w:rsidP="00DA71CC">
            <w:pPr>
              <w:spacing w:line="420" w:lineRule="exact"/>
              <w:jc w:val="center"/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34"/>
                <w:sz w:val="24"/>
                <w:szCs w:val="24"/>
              </w:rPr>
              <w:t>30</w:t>
            </w:r>
          </w:p>
        </w:tc>
        <w:tc>
          <w:tcPr>
            <w:tcW w:w="6704" w:type="dxa"/>
            <w:gridSpan w:val="2"/>
            <w:vAlign w:val="center"/>
          </w:tcPr>
          <w:p w:rsidR="00E20C29" w:rsidRDefault="00E20C29" w:rsidP="00DA71CC">
            <w:pPr>
              <w:spacing w:line="260" w:lineRule="exact"/>
              <w:rPr>
                <w:rFonts w:ascii="方正仿宋_GBK" w:eastAsia="方正仿宋_GBK" w:hAnsi="方正仿宋_GBK" w:cs="方正仿宋_GBK" w:hint="eastAsia"/>
                <w:spacing w:val="-20"/>
                <w:sz w:val="24"/>
                <w:szCs w:val="24"/>
              </w:rPr>
            </w:pPr>
          </w:p>
        </w:tc>
      </w:tr>
    </w:tbl>
    <w:p w:rsidR="00D01CA6" w:rsidRPr="00E20C29" w:rsidRDefault="00D01CA6" w:rsidP="00E20C29">
      <w:pPr>
        <w:pStyle w:val="1"/>
        <w:spacing w:line="579" w:lineRule="exact"/>
        <w:ind w:firstLine="0"/>
      </w:pPr>
    </w:p>
    <w:sectPr w:rsidR="00D01CA6" w:rsidRPr="00E20C29">
      <w:footerReference w:type="default" r:id="rId5"/>
      <w:pgSz w:w="11906" w:h="16838"/>
      <w:pgMar w:top="2098" w:right="1474" w:bottom="204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20C29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E20C29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E20C29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150BA"/>
    <w:rsid w:val="000223A3"/>
    <w:rsid w:val="00045DA6"/>
    <w:rsid w:val="00155C3F"/>
    <w:rsid w:val="004036AA"/>
    <w:rsid w:val="005667D4"/>
    <w:rsid w:val="005944E0"/>
    <w:rsid w:val="00836142"/>
    <w:rsid w:val="009C7043"/>
    <w:rsid w:val="00AB6074"/>
    <w:rsid w:val="00B275AE"/>
    <w:rsid w:val="00D01CA6"/>
    <w:rsid w:val="00D76ACF"/>
    <w:rsid w:val="00E20C29"/>
    <w:rsid w:val="00E30E27"/>
    <w:rsid w:val="00E4045B"/>
    <w:rsid w:val="00E5387C"/>
    <w:rsid w:val="00EA0A18"/>
    <w:rsid w:val="00F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微软中国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2021-01-18T08:56:00Z</dcterms:created>
  <dcterms:modified xsi:type="dcterms:W3CDTF">2021-01-18T08:56:00Z</dcterms:modified>
</cp:coreProperties>
</file>