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6"/>
        </w:rPr>
      </w:pPr>
    </w:p>
    <w:p>
      <w:pPr>
        <w:spacing w:line="52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6"/>
        </w:rPr>
      </w:pPr>
      <w:r>
        <w:rPr>
          <w:rFonts w:hint="eastAsia" w:ascii="仿宋" w:hAnsi="仿宋" w:eastAsia="仿宋" w:cs="仿宋"/>
          <w:b/>
          <w:bCs/>
          <w:sz w:val="32"/>
          <w:szCs w:val="36"/>
        </w:rPr>
        <w:t>行政办公人员招聘岗位及要求</w:t>
      </w:r>
    </w:p>
    <w:p>
      <w:pPr>
        <w:spacing w:line="52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6"/>
        </w:rPr>
      </w:pPr>
    </w:p>
    <w:tbl>
      <w:tblPr>
        <w:tblStyle w:val="4"/>
        <w:tblW w:w="831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"/>
        <w:gridCol w:w="348"/>
        <w:gridCol w:w="375"/>
        <w:gridCol w:w="390"/>
        <w:gridCol w:w="447"/>
        <w:gridCol w:w="1071"/>
        <w:gridCol w:w="1135"/>
        <w:gridCol w:w="578"/>
        <w:gridCol w:w="550"/>
        <w:gridCol w:w="1036"/>
        <w:gridCol w:w="484"/>
        <w:gridCol w:w="16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性质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部门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要求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职称/任职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要求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招考范围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薪酬标准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 w:hRule="atLeast"/>
        </w:trPr>
        <w:tc>
          <w:tcPr>
            <w:tcW w:w="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连江县金凤泊车管理有限公司</w:t>
            </w:r>
          </w:p>
        </w:tc>
        <w:tc>
          <w:tcPr>
            <w:tcW w:w="3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企业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行政人员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人力资源管理或行政管理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全日制普通高等院校本科及以上学历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全省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年薪不低于5万元（不含绩效工资）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</w:p>
        </w:tc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技术员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计算机科学与技术类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全日制普通高等院校大专及以上学历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不限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本市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年薪不低于5万元（不含绩效工资）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会计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会计与审计类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全日制普通高等院校大专及以上学历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35周岁及以下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具有中级会计师资格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本市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年薪不低于5万元（不含绩效工资）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附件1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33D59"/>
    <w:rsid w:val="7CA3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2021-01-04T01:54:00Z</dcterms:created>
  <dc:creator>Tobea小强</dc:creator>
  <cp:lastModifiedBy>Tobea小强</cp:lastModifiedBy>
  <dcterms:modified xsi:type="dcterms:W3CDTF">2021-01-04T01:58:27Z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