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640" w:firstLineChars="200"/>
        <w:jc w:val="center"/>
        <w:outlineLvl w:val="0"/>
        <w:rPr>
          <w:rFonts w:ascii="黑体" w:hAnsi="黑体" w:eastAsia="黑体"/>
          <w:szCs w:val="21"/>
        </w:rPr>
      </w:pPr>
      <w:bookmarkStart w:id="3" w:name="_GoBack"/>
      <w:bookmarkEnd w:id="3"/>
      <w:bookmarkStart w:id="0" w:name="OLE_LINK4"/>
      <w:bookmarkStart w:id="1" w:name="OLE_LINK2"/>
      <w:r>
        <w:rPr>
          <w:rFonts w:hint="eastAsia" w:ascii="黑体" w:hAnsi="黑体" w:eastAsia="黑体"/>
          <w:sz w:val="32"/>
          <w:szCs w:val="32"/>
        </w:rPr>
        <w:t>20</w:t>
      </w:r>
      <w:r>
        <w:rPr>
          <w:rFonts w:ascii="黑体" w:hAnsi="黑体" w:eastAsia="黑体"/>
          <w:sz w:val="32"/>
          <w:szCs w:val="32"/>
        </w:rPr>
        <w:t>21年</w:t>
      </w:r>
      <w:r>
        <w:rPr>
          <w:rFonts w:hint="eastAsia" w:ascii="黑体" w:hAnsi="黑体" w:eastAsia="黑体"/>
          <w:sz w:val="32"/>
          <w:szCs w:val="32"/>
        </w:rPr>
        <w:t>公开招聘专任教师岗位计划表</w:t>
      </w:r>
    </w:p>
    <w:bookmarkEnd w:id="0"/>
    <w:tbl>
      <w:tblPr>
        <w:tblStyle w:val="5"/>
        <w:tblW w:w="15200" w:type="dxa"/>
        <w:tblInd w:w="9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1441"/>
        <w:gridCol w:w="651"/>
        <w:gridCol w:w="1549"/>
        <w:gridCol w:w="3218"/>
        <w:gridCol w:w="4678"/>
        <w:gridCol w:w="1521"/>
        <w:gridCol w:w="10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1112" w:type="dxa"/>
            <w:tcBorders>
              <w:top w:val="double" w:color="auto" w:sz="6" w:space="0"/>
              <w:left w:val="double" w:color="auto" w:sz="6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Ansi="宋体"/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二级学院</w:t>
            </w:r>
          </w:p>
        </w:tc>
        <w:tc>
          <w:tcPr>
            <w:tcW w:w="1441" w:type="dxa"/>
            <w:tcBorders>
              <w:top w:val="double" w:color="auto" w:sz="6" w:space="0"/>
              <w:left w:val="single" w:color="auto" w:sz="4" w:space="0"/>
              <w:bottom w:val="doub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>
              <w:rPr>
                <w:rFonts w:hAnsi="宋体"/>
                <w:b/>
                <w:bCs/>
                <w:kern w:val="0"/>
              </w:rPr>
              <w:t>教研室</w:t>
            </w:r>
          </w:p>
        </w:tc>
        <w:tc>
          <w:tcPr>
            <w:tcW w:w="651" w:type="dxa"/>
            <w:tcBorders>
              <w:top w:val="double" w:color="auto" w:sz="6" w:space="0"/>
              <w:left w:val="single" w:color="auto" w:sz="12" w:space="0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>
              <w:rPr>
                <w:rFonts w:hAnsi="宋体"/>
                <w:b/>
                <w:bCs/>
                <w:kern w:val="0"/>
              </w:rPr>
              <w:t>人数</w:t>
            </w:r>
          </w:p>
        </w:tc>
        <w:tc>
          <w:tcPr>
            <w:tcW w:w="1549" w:type="dxa"/>
            <w:tcBorders>
              <w:top w:val="double" w:color="auto" w:sz="6" w:space="0"/>
              <w:left w:val="single" w:color="auto" w:sz="4" w:space="0"/>
              <w:bottom w:val="doub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>
              <w:rPr>
                <w:rFonts w:hAnsi="宋体"/>
                <w:b/>
                <w:bCs/>
                <w:kern w:val="0"/>
              </w:rPr>
              <w:t>学历</w:t>
            </w:r>
            <w:r>
              <w:rPr>
                <w:rFonts w:hint="eastAsia" w:ascii="仿宋" w:hAnsi="仿宋" w:eastAsia="仿宋"/>
                <w:b/>
                <w:bCs/>
                <w:kern w:val="0"/>
              </w:rPr>
              <w:t>/</w:t>
            </w:r>
            <w:r>
              <w:rPr>
                <w:rFonts w:hAnsi="宋体"/>
                <w:b/>
                <w:bCs/>
                <w:kern w:val="0"/>
              </w:rPr>
              <w:t>学位</w:t>
            </w:r>
          </w:p>
        </w:tc>
        <w:tc>
          <w:tcPr>
            <w:tcW w:w="3218" w:type="dxa"/>
            <w:tcBorders>
              <w:top w:val="double" w:color="auto" w:sz="6" w:space="0"/>
              <w:left w:val="nil"/>
              <w:bottom w:val="doub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>
              <w:rPr>
                <w:rFonts w:hAnsi="宋体"/>
                <w:b/>
                <w:bCs/>
                <w:kern w:val="0"/>
              </w:rPr>
              <w:t>专业</w:t>
            </w:r>
            <w:r>
              <w:rPr>
                <w:rFonts w:hint="eastAsia" w:hAnsi="宋体"/>
                <w:b/>
                <w:bCs/>
                <w:kern w:val="0"/>
              </w:rPr>
              <w:t>（专项）</w:t>
            </w:r>
          </w:p>
        </w:tc>
        <w:tc>
          <w:tcPr>
            <w:tcW w:w="4678" w:type="dxa"/>
            <w:tcBorders>
              <w:top w:val="double" w:color="auto" w:sz="6" w:space="0"/>
              <w:left w:val="nil"/>
              <w:bottom w:val="doub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>
              <w:rPr>
                <w:rFonts w:hint="eastAsia" w:hAnsi="宋体"/>
                <w:b/>
                <w:bCs/>
                <w:kern w:val="0"/>
              </w:rPr>
              <w:t>特殊</w:t>
            </w:r>
            <w:r>
              <w:rPr>
                <w:rFonts w:hAnsi="宋体"/>
                <w:b/>
                <w:bCs/>
                <w:kern w:val="0"/>
              </w:rPr>
              <w:t>要求</w:t>
            </w:r>
            <w:r>
              <w:rPr>
                <w:rFonts w:hint="eastAsia" w:hAnsi="宋体"/>
                <w:b/>
                <w:bCs/>
                <w:kern w:val="0"/>
              </w:rPr>
              <w:t>或条件</w:t>
            </w:r>
          </w:p>
        </w:tc>
        <w:tc>
          <w:tcPr>
            <w:tcW w:w="1521" w:type="dxa"/>
            <w:tcBorders>
              <w:top w:val="double" w:color="auto" w:sz="6" w:space="0"/>
              <w:left w:val="nil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岗位等级</w:t>
            </w:r>
          </w:p>
        </w:tc>
        <w:tc>
          <w:tcPr>
            <w:tcW w:w="1030" w:type="dxa"/>
            <w:tcBorders>
              <w:top w:val="double" w:color="auto" w:sz="6" w:space="0"/>
              <w:left w:val="nil"/>
              <w:bottom w:val="doub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112" w:type="dxa"/>
            <w:vMerge w:val="restart"/>
            <w:tcBorders>
              <w:top w:val="double" w:color="auto" w:sz="4" w:space="0"/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体育教育训练学院</w:t>
            </w:r>
          </w:p>
        </w:tc>
        <w:tc>
          <w:tcPr>
            <w:tcW w:w="1441" w:type="dxa"/>
            <w:vMerge w:val="restart"/>
            <w:tcBorders>
              <w:top w:val="doub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田径教研室</w:t>
            </w:r>
          </w:p>
        </w:tc>
        <w:tc>
          <w:tcPr>
            <w:tcW w:w="651" w:type="dxa"/>
            <w:tcBorders>
              <w:top w:val="doub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doub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vMerge w:val="restart"/>
            <w:tcBorders>
              <w:top w:val="doub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田径</w:t>
            </w:r>
          </w:p>
        </w:tc>
        <w:tc>
          <w:tcPr>
            <w:tcW w:w="4678" w:type="dxa"/>
            <w:tcBorders>
              <w:top w:val="doub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35周岁及以下；田径运动技术二级及以上；本科田径专修；科研能力较为突出；英语四级及以上</w:t>
            </w:r>
          </w:p>
        </w:tc>
        <w:tc>
          <w:tcPr>
            <w:tcW w:w="1521" w:type="dxa"/>
            <w:vMerge w:val="restart"/>
            <w:tcBorders>
              <w:top w:val="double" w:color="auto" w:sz="4" w:space="0"/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doub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112" w:type="dxa"/>
            <w:vMerge w:val="continue"/>
            <w:tcBorders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321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30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周岁及以下；田径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运动健将或全国体育比赛冠军。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1112" w:type="dxa"/>
            <w:vMerge w:val="continue"/>
            <w:tcBorders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排球教研室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研究生/硕士及以上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排球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30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周岁及以下；硕士，排球健将</w:t>
            </w: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或全国体育比赛冠军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，运动成绩突出者优先；博士学位，二级运动员等级及以上，科研能力较为突出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12" w:type="dxa"/>
            <w:vMerge w:val="continue"/>
            <w:tcBorders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体操教研室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研究生/硕士及以上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体操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30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周岁及以下；</w:t>
            </w: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体操运动等级国家一级运动员及以上；具有在专业体育院校教学实习经历；具有较好的英语听说读写能力以及熟练操作计算机办公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12" w:type="dxa"/>
            <w:vMerge w:val="continue"/>
            <w:tcBorders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体能训练教研室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体育教育训练学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35周岁及以下；二级运动员等级及以上；科研能力突出者优先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112" w:type="dxa"/>
            <w:vMerge w:val="continue"/>
            <w:tcBorders>
              <w:left w:val="doub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足球教研室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足球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35周岁及以下；二级运动员等级及以上；科研能力突出者优先</w:t>
            </w:r>
          </w:p>
        </w:tc>
        <w:tc>
          <w:tcPr>
            <w:tcW w:w="1521" w:type="dxa"/>
            <w:vMerge w:val="continue"/>
            <w:tcBorders>
              <w:left w:val="nil"/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112" w:type="dxa"/>
            <w:tcBorders>
              <w:top w:val="single" w:color="auto" w:sz="12" w:space="0"/>
              <w:left w:val="doub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运动科学与健康学院</w:t>
            </w:r>
          </w:p>
        </w:tc>
        <w:tc>
          <w:tcPr>
            <w:tcW w:w="144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运动康复教研室</w:t>
            </w:r>
          </w:p>
        </w:tc>
        <w:tc>
          <w:tcPr>
            <w:tcW w:w="65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康复医学与理疗学、运动医学、运动康复、康复治疗技术、外科学（骨关节方向）、中医骨伤科学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35周岁及以下；有临床经验或者国外物理治疗（PT）学习工作经历者优先</w:t>
            </w:r>
          </w:p>
        </w:tc>
        <w:tc>
          <w:tcPr>
            <w:tcW w:w="1521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112" w:type="dxa"/>
            <w:vMerge w:val="restart"/>
            <w:tcBorders>
              <w:top w:val="single" w:color="auto" w:sz="12" w:space="0"/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bookmarkStart w:id="2" w:name="OLE_LINK3"/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管理与传播学院</w:t>
            </w:r>
          </w:p>
        </w:tc>
        <w:tc>
          <w:tcPr>
            <w:tcW w:w="14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广播电视教研室</w:t>
            </w:r>
          </w:p>
        </w:tc>
        <w:tc>
          <w:tcPr>
            <w:tcW w:w="65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动画艺术（制作）学或数字媒体艺术相关专业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35周岁及以下；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应有省级及省级以上媒体或影视公司的实践工作经历</w:t>
            </w:r>
          </w:p>
        </w:tc>
        <w:tc>
          <w:tcPr>
            <w:tcW w:w="1521" w:type="dxa"/>
            <w:vMerge w:val="restart"/>
            <w:tcBorders>
              <w:top w:val="single" w:color="auto" w:sz="12" w:space="0"/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112" w:type="dxa"/>
            <w:vMerge w:val="continue"/>
            <w:tcBorders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体育</w:t>
            </w: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  <w:t>经济与产业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教研室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统计学、工商管理、经济管理、体育产业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；科研能力突出,能从事体育经济与产业方面的高水平研究工作；英语六级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1112" w:type="dxa"/>
            <w:vMerge w:val="continue"/>
            <w:tcBorders>
              <w:left w:val="doub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体育经济与产业教研室</w:t>
            </w:r>
            <w:r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  <w:t>—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电子竞技方向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计算机应用技术、计算机软件工程等相关专业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；科研能力良好；英语六级；熟悉电竞行业</w:t>
            </w:r>
          </w:p>
        </w:tc>
        <w:tc>
          <w:tcPr>
            <w:tcW w:w="1521" w:type="dxa"/>
            <w:vMerge w:val="continue"/>
            <w:tcBorders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12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112" w:type="dxa"/>
            <w:vMerge w:val="restart"/>
            <w:tcBorders>
              <w:top w:val="single" w:color="auto" w:sz="12" w:space="0"/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休闲与社会体育学院</w:t>
            </w:r>
          </w:p>
        </w:tc>
        <w:tc>
          <w:tcPr>
            <w:tcW w:w="144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休闲体育教研室</w:t>
            </w:r>
          </w:p>
        </w:tc>
        <w:tc>
          <w:tcPr>
            <w:tcW w:w="65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asciiTheme="minorEastAsia" w:hAnsiTheme="minorEastAsia" w:eastAsiaTheme="minorEastAsia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旅游管理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或人文地理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；应届毕业生；英语六级；本、硕、博其中一个阶段专业为旅游管理</w:t>
            </w:r>
          </w:p>
        </w:tc>
        <w:tc>
          <w:tcPr>
            <w:tcW w:w="1521" w:type="dxa"/>
            <w:vMerge w:val="restart"/>
            <w:tcBorders>
              <w:top w:val="single" w:color="auto" w:sz="12" w:space="0"/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12" w:type="dxa"/>
            <w:vMerge w:val="continue"/>
            <w:tcBorders>
              <w:left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时尚运动教研室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研究生/硕士及以上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户外运动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0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周岁及以下；持有中国登山协会中级山地户外指导员证书、国际医学协会认证的野外急救证书或相关急救授课资质证书、绳索技能相关证书、户外营地相关资格证书；能够承担《紧急避险与救护》、《户外运动基础》、《研学旅行活动设计与指导》至少两门课程的教学；同等要求下博士优先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12" w:type="dxa"/>
            <w:vMerge w:val="continue"/>
            <w:tcBorders>
              <w:left w:val="doub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小球运动教研室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研究生/硕士及以上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乒乓球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0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周岁及以下；国家级健将、世界比赛前8名或洲际比赛前3名或全国冠军（全国锦标赛、全运会、全国青年锦标赛、中国乒乓球超级联赛）</w:t>
            </w:r>
          </w:p>
        </w:tc>
        <w:tc>
          <w:tcPr>
            <w:tcW w:w="1521" w:type="dxa"/>
            <w:vMerge w:val="continue"/>
            <w:tcBorders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12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112" w:type="dxa"/>
            <w:tcBorders>
              <w:left w:val="doub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武术与表演学院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武术套路教研室</w:t>
            </w: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民族传统体育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、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体育教 育训练学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35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周岁及以下；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运动技术二级及以上；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在武术史或武术文化传播方面具有一定研究能力，教学科研能力突出；本科或硕士有民族传统体育学专业背景</w:t>
            </w:r>
          </w:p>
        </w:tc>
        <w:tc>
          <w:tcPr>
            <w:tcW w:w="1521" w:type="dxa"/>
            <w:tcBorders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12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12" w:type="dxa"/>
            <w:tcBorders>
              <w:top w:val="single" w:color="auto" w:sz="12" w:space="0"/>
              <w:left w:val="doub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144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思想政治教育教研室</w:t>
            </w:r>
          </w:p>
        </w:tc>
        <w:tc>
          <w:tcPr>
            <w:tcW w:w="65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思想政治教育、中国近现代史、中共党史、马克思主义中国化等相关专业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5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周岁及以下；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中共党员</w:t>
            </w:r>
          </w:p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12" w:type="dxa"/>
            <w:tcBorders>
              <w:top w:val="single" w:color="auto" w:sz="12" w:space="0"/>
              <w:left w:val="double" w:color="auto" w:sz="6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现代教育技术中心</w:t>
            </w:r>
          </w:p>
        </w:tc>
        <w:tc>
          <w:tcPr>
            <w:tcW w:w="144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计算机与统计学教研室</w:t>
            </w:r>
          </w:p>
        </w:tc>
        <w:tc>
          <w:tcPr>
            <w:tcW w:w="65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计算机专业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；英语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六级</w:t>
            </w:r>
          </w:p>
        </w:tc>
        <w:tc>
          <w:tcPr>
            <w:tcW w:w="1521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553" w:type="dxa"/>
            <w:gridSpan w:val="2"/>
            <w:vMerge w:val="restart"/>
            <w:tcBorders>
              <w:top w:val="single" w:color="auto" w:sz="12" w:space="0"/>
              <w:left w:val="double" w:color="auto" w:sz="6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人工智能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研究院</w:t>
            </w:r>
          </w:p>
          <w:p>
            <w:pPr>
              <w:spacing w:line="26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549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计算机视觉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研究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/机器学习/数据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挖掘研究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在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国内外大学（学科）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获得博士学位；计算机科学、电子工程、应用数学等相关学科或专业背景；热爱科研工作， 具有较强的系统分析思维和数据建模能力，具备独立从事科研及项目工作的能力，团队合作和组织协调能力突出；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科研能力突出，发表了较高高质量研究成果；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具有较强的中英文写作能力和口头表达能力。</w:t>
            </w:r>
          </w:p>
        </w:tc>
        <w:tc>
          <w:tcPr>
            <w:tcW w:w="1521" w:type="dxa"/>
            <w:vMerge w:val="restart"/>
            <w:tcBorders>
              <w:top w:val="single" w:color="auto" w:sz="12" w:space="0"/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553" w:type="dxa"/>
            <w:gridSpan w:val="2"/>
            <w:vMerge w:val="continue"/>
            <w:tcBorders>
              <w:left w:val="double" w:color="auto" w:sz="6" w:space="0"/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传感器与物联网、工程技术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博士应届毕业生，或毕业两年内的海外博士留学生； C/C++/Python 中的一种或多种编程经验，熟悉OpenCV、Matlab 等开发工具，能够快速实现和改进相关图像算法，有深度学习相关经验；熟练掌握模、数字电路相关原理图、PCB layout 设计技能；熟悉蓝牙 5.0、ZigBee、Lora 及 wifi 等协议栈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</w:t>
            </w:r>
            <w:r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  <w:t>扎实的专业知识，严谨的逻辑思维能力和较强的创新能力，具备英文文献的读写能力；有结构光，TOF、双目等深度相机使用经验优先；有从事加速度、重力、压力、血流量等传感器嵌入式软件开发工作经验者优先；有物联网或人工智能产品软件开发经验者优先。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553" w:type="dxa"/>
            <w:gridSpan w:val="2"/>
            <w:vMerge w:val="continue"/>
            <w:tcBorders>
              <w:left w:val="double" w:color="auto" w:sz="6" w:space="0"/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生物力学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；具有独立开展科学研究的能力，有较强的学术论文写作能力；熟练掌握细胞生物学、动物实验、运动生物力学实验和数值计算等相关技术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553" w:type="dxa"/>
            <w:gridSpan w:val="2"/>
            <w:vMerge w:val="continue"/>
            <w:tcBorders>
              <w:left w:val="double" w:color="auto" w:sz="6" w:space="0"/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计算机、电子工程、信息工程（运动促进健康方向）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；具有独立开展科学研究的能力，有较强的学术论文写作能力；有较强的编程能力，熟悉Python或C++等编程语言；有较强的英语沟通能力；有深度学习和强化学习等相关经验优先</w:t>
            </w:r>
          </w:p>
        </w:tc>
        <w:tc>
          <w:tcPr>
            <w:tcW w:w="1521" w:type="dxa"/>
            <w:vMerge w:val="continue"/>
            <w:tcBorders>
              <w:left w:val="nil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double" w:color="auto" w:sz="6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553" w:type="dxa"/>
            <w:gridSpan w:val="2"/>
            <w:vMerge w:val="continue"/>
            <w:tcBorders>
              <w:left w:val="doub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</w:p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生物统计学、生物信息学、人工智能（单细胞相关研究方向）</w:t>
            </w:r>
          </w:p>
        </w:tc>
        <w:tc>
          <w:tcPr>
            <w:tcW w:w="4678" w:type="dxa"/>
            <w:tcBorders>
              <w:top w:val="single" w:color="auto" w:sz="4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cs="宋体"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；具有概率学、统计学知识背景；熟悉计算机编程语言Python，或者编程语言R；较强的英语文字能力和沟通能力；熟悉Tensorflow编程优先；具有生物统计知识和基因知识者优先</w:t>
            </w:r>
          </w:p>
        </w:tc>
        <w:tc>
          <w:tcPr>
            <w:tcW w:w="1521" w:type="dxa"/>
            <w:vMerge w:val="continue"/>
            <w:tcBorders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12" w:space="0"/>
              <w:right w:val="double" w:color="auto" w:sz="6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553" w:type="dxa"/>
            <w:gridSpan w:val="2"/>
            <w:vMerge w:val="restart"/>
            <w:tcBorders>
              <w:top w:val="single" w:color="auto" w:sz="12" w:space="0"/>
              <w:left w:val="doub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体医融合创新中心</w:t>
            </w:r>
          </w:p>
        </w:tc>
        <w:tc>
          <w:tcPr>
            <w:tcW w:w="651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医学、运动人体科学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35周岁及以下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具有独立开展科学研究的能力；有较强的学术论文写作能力；具有医学相关专业知识</w:t>
            </w:r>
          </w:p>
        </w:tc>
        <w:tc>
          <w:tcPr>
            <w:tcW w:w="1521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single" w:color="auto" w:sz="12" w:space="0"/>
              <w:right w:val="double" w:color="auto" w:sz="6" w:space="0"/>
            </w:tcBorders>
          </w:tcPr>
          <w:p>
            <w:pPr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研究型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553" w:type="dxa"/>
            <w:gridSpan w:val="2"/>
            <w:vMerge w:val="continue"/>
            <w:tcBorders>
              <w:left w:val="double" w:color="auto" w:sz="6" w:space="0"/>
              <w:bottom w:val="doub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color="auto" w:sz="12" w:space="0"/>
              <w:left w:val="single" w:color="auto" w:sz="12" w:space="0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color="auto" w:sz="12" w:space="0"/>
              <w:left w:val="single" w:color="auto" w:sz="4" w:space="0"/>
              <w:bottom w:val="doub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kern w:val="0"/>
                <w:sz w:val="18"/>
                <w:szCs w:val="18"/>
              </w:rPr>
              <w:t>研究生/</w:t>
            </w: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3218" w:type="dxa"/>
            <w:tcBorders>
              <w:top w:val="single" w:color="auto" w:sz="12" w:space="0"/>
              <w:left w:val="nil"/>
              <w:bottom w:val="doub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 w:eastAsia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</w:rPr>
              <w:t>工程技术</w:t>
            </w:r>
          </w:p>
        </w:tc>
        <w:tc>
          <w:tcPr>
            <w:tcW w:w="4678" w:type="dxa"/>
            <w:tcBorders>
              <w:top w:val="single" w:color="auto" w:sz="12" w:space="0"/>
              <w:left w:val="nil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Theme="minorEastAsia" w:hAnsiTheme="minorEastAsia" w:eastAsia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3</w:t>
            </w:r>
            <w:r>
              <w:rPr>
                <w:rFonts w:asciiTheme="minorEastAsia" w:hAnsiTheme="minorEastAsia" w:eastAsiaTheme="minorEastAsia"/>
                <w:color w:val="000000"/>
                <w:sz w:val="18"/>
                <w:szCs w:val="18"/>
              </w:rPr>
              <w:t>0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周岁及以下</w:t>
            </w:r>
            <w:r>
              <w:rPr>
                <w:rFonts w:hint="eastAsia" w:cs="宋体" w:asciiTheme="minorEastAsia" w:hAnsiTheme="minorEastAsia" w:eastAsiaTheme="minorEastAsia"/>
                <w:kern w:val="0"/>
                <w:sz w:val="18"/>
                <w:szCs w:val="18"/>
              </w:rPr>
              <w:t>；</w:t>
            </w:r>
            <w:r>
              <w:rPr>
                <w:rFonts w:hint="eastAsia" w:asciiTheme="minorEastAsia" w:hAnsiTheme="minorEastAsia" w:eastAsiaTheme="minorEastAsia"/>
                <w:color w:val="000000"/>
                <w:sz w:val="18"/>
                <w:szCs w:val="18"/>
              </w:rPr>
              <w:t>具有扎实的工科背景；有较强的体育训练基础</w:t>
            </w:r>
          </w:p>
        </w:tc>
        <w:tc>
          <w:tcPr>
            <w:tcW w:w="1521" w:type="dxa"/>
            <w:tcBorders>
              <w:top w:val="single" w:color="auto" w:sz="12" w:space="0"/>
              <w:left w:val="nil"/>
              <w:bottom w:val="doub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专业技术</w:t>
            </w:r>
          </w:p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color="auto" w:sz="12" w:space="0"/>
              <w:left w:val="nil"/>
              <w:bottom w:val="double" w:color="auto" w:sz="6" w:space="0"/>
              <w:right w:val="double" w:color="auto" w:sz="6" w:space="0"/>
            </w:tcBorders>
          </w:tcPr>
          <w:p>
            <w:pPr>
              <w:widowControl/>
              <w:spacing w:line="320" w:lineRule="exact"/>
              <w:jc w:val="center"/>
              <w:rPr>
                <w:rFonts w:asciiTheme="minorEastAsia" w:hAnsiTheme="minorEastAsia" w:eastAsiaTheme="minorEastAsia"/>
                <w:kern w:val="0"/>
                <w:sz w:val="18"/>
                <w:szCs w:val="18"/>
              </w:rPr>
            </w:pPr>
          </w:p>
        </w:tc>
      </w:tr>
      <w:bookmarkEnd w:id="1"/>
      <w:bookmarkEnd w:id="2"/>
    </w:tbl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C2"/>
    <w:rsid w:val="000136CF"/>
    <w:rsid w:val="00036DFC"/>
    <w:rsid w:val="000371E4"/>
    <w:rsid w:val="00064114"/>
    <w:rsid w:val="000E25C6"/>
    <w:rsid w:val="000E25E0"/>
    <w:rsid w:val="000E6310"/>
    <w:rsid w:val="000F05A0"/>
    <w:rsid w:val="001245D8"/>
    <w:rsid w:val="00142F82"/>
    <w:rsid w:val="0016128B"/>
    <w:rsid w:val="00171AB8"/>
    <w:rsid w:val="0018734F"/>
    <w:rsid w:val="001908C7"/>
    <w:rsid w:val="001A2C1C"/>
    <w:rsid w:val="001A607A"/>
    <w:rsid w:val="001C2143"/>
    <w:rsid w:val="001C562C"/>
    <w:rsid w:val="001D1900"/>
    <w:rsid w:val="001D3614"/>
    <w:rsid w:val="001E2DC0"/>
    <w:rsid w:val="001F3D8A"/>
    <w:rsid w:val="001F55CD"/>
    <w:rsid w:val="001F71B7"/>
    <w:rsid w:val="00201E47"/>
    <w:rsid w:val="00211CB8"/>
    <w:rsid w:val="00216A7A"/>
    <w:rsid w:val="0026249A"/>
    <w:rsid w:val="002747F5"/>
    <w:rsid w:val="002945D2"/>
    <w:rsid w:val="00295E27"/>
    <w:rsid w:val="002C53E5"/>
    <w:rsid w:val="002F2065"/>
    <w:rsid w:val="003127C7"/>
    <w:rsid w:val="00326631"/>
    <w:rsid w:val="00352235"/>
    <w:rsid w:val="00374E32"/>
    <w:rsid w:val="00375772"/>
    <w:rsid w:val="00381601"/>
    <w:rsid w:val="003A03B1"/>
    <w:rsid w:val="003B0653"/>
    <w:rsid w:val="003B3417"/>
    <w:rsid w:val="003C01AD"/>
    <w:rsid w:val="003E6C6C"/>
    <w:rsid w:val="00430C45"/>
    <w:rsid w:val="00434802"/>
    <w:rsid w:val="004573DF"/>
    <w:rsid w:val="004770ED"/>
    <w:rsid w:val="00495FCF"/>
    <w:rsid w:val="004A10F8"/>
    <w:rsid w:val="00512170"/>
    <w:rsid w:val="005205FC"/>
    <w:rsid w:val="0055530A"/>
    <w:rsid w:val="00577EF0"/>
    <w:rsid w:val="00581D27"/>
    <w:rsid w:val="005A66C2"/>
    <w:rsid w:val="005D6CB5"/>
    <w:rsid w:val="005E0EF6"/>
    <w:rsid w:val="005E28F3"/>
    <w:rsid w:val="00611240"/>
    <w:rsid w:val="006113F7"/>
    <w:rsid w:val="00626304"/>
    <w:rsid w:val="006348A0"/>
    <w:rsid w:val="00667287"/>
    <w:rsid w:val="00674D1D"/>
    <w:rsid w:val="00676A19"/>
    <w:rsid w:val="00690D16"/>
    <w:rsid w:val="00693715"/>
    <w:rsid w:val="006A351D"/>
    <w:rsid w:val="006C618B"/>
    <w:rsid w:val="007021B6"/>
    <w:rsid w:val="007578BB"/>
    <w:rsid w:val="00760FF2"/>
    <w:rsid w:val="007650A3"/>
    <w:rsid w:val="00773487"/>
    <w:rsid w:val="00780B3F"/>
    <w:rsid w:val="007A0DF2"/>
    <w:rsid w:val="007A6C9D"/>
    <w:rsid w:val="007D6A1C"/>
    <w:rsid w:val="008147C4"/>
    <w:rsid w:val="00823624"/>
    <w:rsid w:val="00833EF0"/>
    <w:rsid w:val="00850C63"/>
    <w:rsid w:val="008570F7"/>
    <w:rsid w:val="008809E8"/>
    <w:rsid w:val="008977FA"/>
    <w:rsid w:val="008A2E6D"/>
    <w:rsid w:val="008C1BA8"/>
    <w:rsid w:val="009061EA"/>
    <w:rsid w:val="009210C1"/>
    <w:rsid w:val="00923DEA"/>
    <w:rsid w:val="009279E1"/>
    <w:rsid w:val="00946B68"/>
    <w:rsid w:val="00963AC2"/>
    <w:rsid w:val="00986DC8"/>
    <w:rsid w:val="009C1576"/>
    <w:rsid w:val="009D31A3"/>
    <w:rsid w:val="00A053C4"/>
    <w:rsid w:val="00A31756"/>
    <w:rsid w:val="00A36BC5"/>
    <w:rsid w:val="00A53434"/>
    <w:rsid w:val="00A72875"/>
    <w:rsid w:val="00A8237D"/>
    <w:rsid w:val="00A87155"/>
    <w:rsid w:val="00AA29F5"/>
    <w:rsid w:val="00AA34D4"/>
    <w:rsid w:val="00AA450C"/>
    <w:rsid w:val="00AB1F07"/>
    <w:rsid w:val="00AD0FFF"/>
    <w:rsid w:val="00AE6B03"/>
    <w:rsid w:val="00B34B99"/>
    <w:rsid w:val="00B37B5E"/>
    <w:rsid w:val="00B659C8"/>
    <w:rsid w:val="00B73F62"/>
    <w:rsid w:val="00B84E6C"/>
    <w:rsid w:val="00BB52F2"/>
    <w:rsid w:val="00BD3C7E"/>
    <w:rsid w:val="00BE5A97"/>
    <w:rsid w:val="00C46BA6"/>
    <w:rsid w:val="00CB6476"/>
    <w:rsid w:val="00D11590"/>
    <w:rsid w:val="00D208DC"/>
    <w:rsid w:val="00D71F59"/>
    <w:rsid w:val="00D92A28"/>
    <w:rsid w:val="00D936F8"/>
    <w:rsid w:val="00DA48C8"/>
    <w:rsid w:val="00DB3163"/>
    <w:rsid w:val="00DC1E4B"/>
    <w:rsid w:val="00DC28F9"/>
    <w:rsid w:val="00DC3A95"/>
    <w:rsid w:val="00E079E5"/>
    <w:rsid w:val="00E309FE"/>
    <w:rsid w:val="00E3654E"/>
    <w:rsid w:val="00E44CD2"/>
    <w:rsid w:val="00E75CCA"/>
    <w:rsid w:val="00ED7383"/>
    <w:rsid w:val="00F050AE"/>
    <w:rsid w:val="00F05735"/>
    <w:rsid w:val="00F30C33"/>
    <w:rsid w:val="00F4155B"/>
    <w:rsid w:val="00F43D8D"/>
    <w:rsid w:val="00F536E3"/>
    <w:rsid w:val="00F53A06"/>
    <w:rsid w:val="00F61CD9"/>
    <w:rsid w:val="00F7737D"/>
    <w:rsid w:val="00F85512"/>
    <w:rsid w:val="00F86D6F"/>
    <w:rsid w:val="00FF0698"/>
    <w:rsid w:val="17A3777B"/>
    <w:rsid w:val="33A3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374</Words>
  <Characters>2133</Characters>
  <Lines>17</Lines>
  <Paragraphs>5</Paragraphs>
  <TotalTime>964</TotalTime>
  <ScaleCrop>false</ScaleCrop>
  <LinksUpToDate>false</LinksUpToDate>
  <CharactersWithSpaces>2502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2020-12-30T11:47:00Z</dcterms:created>
  <dc:creator>china</dc:creator>
  <cp:lastModifiedBy>ぺ灬cc果冻ル</cp:lastModifiedBy>
  <cp:lastPrinted>2020-12-31T04:04:00Z</cp:lastPrinted>
  <dcterms:modified xsi:type="dcterms:W3CDTF">2021-01-08T02:45:27Z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