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8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719"/>
        <w:gridCol w:w="1987"/>
        <w:gridCol w:w="2528"/>
        <w:gridCol w:w="1785"/>
        <w:gridCol w:w="930"/>
        <w:gridCol w:w="12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08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附件1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  <w:t xml:space="preserve"> 山西能源学院2020年第二批急需紧缺专业硕士研究生招聘岗位表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招聘岗位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招聘人数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专业要求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学历学位要求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年龄要求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其他要求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信息与通信工程（一级学科）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等线" w:eastAsia="仿宋_GB2312" w:cs="仿宋_GB2312"/>
                <w:color w:val="000000"/>
                <w:sz w:val="20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控制科学与工程（一级学科）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 w:val="20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计算机科学与技术（一级学科）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B05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专技岗位4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软件工程（一级学科）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网络空间安全（一级学科）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专技岗位6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电气工程（一级学科）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专技岗位7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石油与天然气工程（一级学科）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机械工程（一级学科）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专技岗位9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力学（一级学科）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土木工程（一级学科）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专技岗位11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动力工程及工程热物理（一级学科）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环境科学与工程（一级学科）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水利工程（一级学科）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专技岗位14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数学（一级学科）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会计学（二级学科）财务管理（二级学科）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专技岗位16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体育学（一级学科）体育（专硕）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专技岗位17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马克思主义哲学（二级学科）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中共党员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力学（一级学科）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实训中心实验员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专技岗位19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物理学（一级学科）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实训中心实验员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专技岗位20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电气工程（一级学科）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实训中心实验员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专技岗位21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信息与通信工程（一级学科）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信息中心岗位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专技岗位22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图书情报与档案管理（一级学科）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图书馆岗位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专技岗位23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临床医学（一级学科）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后勤保障处岗位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fldChar w:fldCharType="begin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instrText xml:space="preserve"> = sum(B3:B25) \* MERGEFORMAT </w:instrTex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42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fldChar w:fldCharType="end"/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C3"/>
    <w:rsid w:val="001935C3"/>
    <w:rsid w:val="009D4E31"/>
    <w:rsid w:val="00CD1706"/>
    <w:rsid w:val="00F3379B"/>
    <w:rsid w:val="27233441"/>
    <w:rsid w:val="6BC4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179</Words>
  <Characters>1026</Characters>
  <Lines>8</Lines>
  <Paragraphs>2</Paragraphs>
  <TotalTime>0</TotalTime>
  <ScaleCrop>false</ScaleCrop>
  <LinksUpToDate>false</LinksUpToDate>
  <CharactersWithSpaces>1203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2020-12-30T03:57:00Z</dcterms:created>
  <dc:creator>石晓雷</dc:creator>
  <cp:lastModifiedBy>ぺ灬cc果冻ル</cp:lastModifiedBy>
  <dcterms:modified xsi:type="dcterms:W3CDTF">2020-12-30T11:20:54Z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