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eastAsia="方正黑体_GBK"/>
          <w:color w:val="000000"/>
          <w:spacing w:val="-17"/>
          <w:sz w:val="32"/>
          <w:szCs w:val="32"/>
        </w:rPr>
      </w:pPr>
      <w:bookmarkStart w:id="0" w:name="_GoBack"/>
      <w:bookmarkEnd w:id="0"/>
      <w:r>
        <w:rPr>
          <w:rFonts w:eastAsia="方正黑体_GBK"/>
          <w:color w:val="000000"/>
          <w:spacing w:val="-17"/>
          <w:sz w:val="32"/>
          <w:szCs w:val="32"/>
        </w:rPr>
        <w:t>附件1</w:t>
      </w:r>
    </w:p>
    <w:p>
      <w:pPr>
        <w:jc w:val="center"/>
        <w:rPr>
          <w:rFonts w:hint="eastAsia" w:eastAsia="方正小标宋_GBK"/>
          <w:color w:val="000000"/>
          <w:sz w:val="44"/>
          <w:szCs w:val="44"/>
        </w:rPr>
      </w:pPr>
      <w:r>
        <w:rPr>
          <w:rFonts w:eastAsia="方正小标宋_GBK"/>
          <w:color w:val="000000"/>
          <w:sz w:val="44"/>
          <w:szCs w:val="44"/>
        </w:rPr>
        <w:t>2020年“智汇达川”考核招聘教育高层次人才职位表</w:t>
      </w:r>
    </w:p>
    <w:tbl>
      <w:tblPr>
        <w:tblStyle w:val="6"/>
        <w:tblpPr w:leftFromText="180" w:rightFromText="180" w:vertAnchor="text" w:horzAnchor="page" w:tblpXSpec="center" w:tblpY="615"/>
        <w:tblOverlap w:val="never"/>
        <w:tblW w:w="1430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993"/>
        <w:gridCol w:w="1033"/>
        <w:gridCol w:w="1202"/>
        <w:gridCol w:w="605"/>
        <w:gridCol w:w="606"/>
        <w:gridCol w:w="606"/>
        <w:gridCol w:w="1591"/>
        <w:gridCol w:w="1021"/>
        <w:gridCol w:w="883"/>
        <w:gridCol w:w="1459"/>
        <w:gridCol w:w="735"/>
        <w:gridCol w:w="1918"/>
        <w:gridCol w:w="600"/>
        <w:gridCol w:w="6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序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号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方正黑体_GBK"/>
                <w:color w:val="000000"/>
                <w:kern w:val="0"/>
                <w:sz w:val="20"/>
                <w:szCs w:val="20"/>
                <w:lang w:bidi="ar"/>
              </w:rPr>
              <w:t>职位编码</w:t>
            </w:r>
          </w:p>
        </w:tc>
        <w:tc>
          <w:tcPr>
            <w:tcW w:w="10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主管部门</w:t>
            </w:r>
          </w:p>
        </w:tc>
        <w:tc>
          <w:tcPr>
            <w:tcW w:w="12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用人单位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经费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形式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岗位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属性</w:t>
            </w:r>
          </w:p>
        </w:tc>
        <w:tc>
          <w:tcPr>
            <w:tcW w:w="15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岗位名称及简介</w:t>
            </w:r>
          </w:p>
        </w:tc>
        <w:tc>
          <w:tcPr>
            <w:tcW w:w="19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招聘人数</w:t>
            </w:r>
          </w:p>
        </w:tc>
        <w:tc>
          <w:tcPr>
            <w:tcW w:w="1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专业要求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学历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学位</w:t>
            </w:r>
          </w:p>
        </w:tc>
        <w:tc>
          <w:tcPr>
            <w:tcW w:w="19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其他条件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方式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exac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西南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考核点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四川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师大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考核点</w:t>
            </w:r>
          </w:p>
        </w:tc>
        <w:tc>
          <w:tcPr>
            <w:tcW w:w="1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高中语文教学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高中英语教学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外国语言文学类、教育学类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6" w:hRule="exac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400003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高中物理教学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物理学类、教育学类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高中物理教学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物理学类、教育学类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高中体育教学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体育学类、教育学类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400005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高中数学教学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数学类、教育学类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高中数学教学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数学类、教育学类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高中生物教学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生物科学类、教育学类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高中生物教学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生物科学类、教育学类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达川第四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高中生物教学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生物科学类、教育学类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400007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高中历史教学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历史学类、教育学类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高中化学教学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化学类、教育学类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400009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高中地理教学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地理科学类、大气科学类、天文科学类、海洋科学类、地质学类、教育学类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初中政治教学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哲学类、经济学类、法学类、政治学类、社会学类、教育学类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初级中学及以上相应学科教师资格，普通话二级乙等及以上，第一学历为普通高等教育本科且所学专业与研究生所学专业一致（或相近）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初中语文教学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初级中学及以上相应学科教师资格，普通话二级乙等及以上，第一学历为普通高等教育本科且所学专业与研究生所学专业一致（或相近）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初中体育教学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体育学类、教育学类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初级中学及以上相应学科教师资格，普通话二级乙等及以上，第一学历为普通高等教育本科且所学专业与研究生所学专业一致（或相近）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400013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初中数学教学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数学类、教育学类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初级中学及以上相应学科教师资格，普通话二级乙等及以上，第一学历为普通高等教育本科且所学专业与研究生所学专业一致（或相近）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初中历史教学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历史学类、教育学类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初级中学及以上相应学科教师资格，普通话二级乙等及以上，第一学历为普通高等教育本科且所学专业与研究生所学专业一致（或相近）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400015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实验小学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教师、从事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小学英语教学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外国语言文学类、教育学类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实验小学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教师、从事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小学信息技术教学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计算机类、教育学类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400017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实验小学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教师、从事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小学体育教学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体育学类、教育学类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逸夫小学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小学体育教学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体育学类、教育学类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逸夫小学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小学数学教学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数学类、教育学类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400019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逸夫小学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小学美术教学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美术学类、教育学类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达县职业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高级中学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中职畜牧兽医教学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动物生产类、动物医学类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pacing w:val="-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pacing w:val="-2"/>
                <w:kern w:val="0"/>
                <w:sz w:val="20"/>
                <w:szCs w:val="20"/>
                <w:lang w:bidi="ar"/>
              </w:rPr>
              <w:t>高级中学（中等职业学校）及以上教师资格，普通话二级乙等及以上，第一学历为普通高等教育本科且所学专业与研究生所学专业一致（或相近）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达县职业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高级中学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中职智能制造教学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机械类、自动化类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pacing w:val="-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pacing w:val="-2"/>
                <w:kern w:val="0"/>
                <w:sz w:val="20"/>
                <w:szCs w:val="20"/>
                <w:lang w:bidi="ar"/>
              </w:rPr>
              <w:t>高级中学（中等职业学校）及以上教师资格，普通话二级乙等及以上，第一学历为普通高等教育本科且所学专业与研究生所学专业一致（或相近）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400022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达县职业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高级中学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中职物联网教学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计算机类、教育学类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pacing w:val="-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pacing w:val="-2"/>
                <w:kern w:val="0"/>
                <w:sz w:val="20"/>
                <w:szCs w:val="20"/>
                <w:lang w:bidi="ar"/>
              </w:rPr>
              <w:t>高级中学（中等职业学校）及以上教师资格，普通话二级乙等及以上，第一学历为普通高等教育本科且所学专业与研究生所学专业一致（或相近）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400023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高中英语教学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外国语言文学类、教育学类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24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400024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高中语文教学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达川第四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高中语文教学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达川第二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高中语文教学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中国语言文学类、教育学类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400025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达州中学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高中物理教学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物理学类、教育学类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高中物理教学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物理学类、教育学类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26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400026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达县职业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高中政治教学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哲学类、经济学类、法学类、政治学类、社会学类、教育学类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达川第四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高中政治教学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哲学类、经济学类、法学类、政治学类、社会学类、教育学类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400027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高中数学教学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数学类、教育学类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达川第四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高中数学教学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数学类、教育学类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400028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达县职业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高中历史教学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历史学类、教育学类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川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高中历史教学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历史学类、教育学类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川第四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高中历史教学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历史学类、教育学类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29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400029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四川省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达川第二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中学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高中地理教学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地理科学类、大气科学类、天文科学类、海洋科学类、地质学类、教育学类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高级中学及以上相应学科教师资格，普通话二级乙等及以上，第一学历为普通高等教育本科且所学专业与研究生所学专业一致（或相近）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400030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三里小学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小学体育教学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体育学类、教育学类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400031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教育和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 xml:space="preserve">  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技术局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达川区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三里小学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事业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单位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全额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拨款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专业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技术</w:t>
            </w: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教师，从事</w:t>
            </w:r>
          </w:p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小学音乐教学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音乐与舞蹈学类、教育学类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硕士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研究生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及以上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小学及以上相应学科教师资格，普通话二级甲等及以上，第一学历为普通高等教育本科且所学专业与研究生所学专业一致（或相近）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面谈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考核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3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/>
    <w:sectPr>
      <w:pgSz w:w="16838" w:h="11906" w:orient="landscape"/>
      <w:pgMar w:top="1474" w:right="2098" w:bottom="1474" w:left="1984" w:header="851" w:footer="992" w:gutter="0"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7620C3"/>
    <w:rsid w:val="1A941025"/>
    <w:rsid w:val="1F7620C3"/>
    <w:rsid w:val="4ABF35E8"/>
    <w:rsid w:val="59291BC0"/>
    <w:rsid w:val="5FEF0C9C"/>
    <w:rsid w:val="7CF1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78" w:lineRule="exact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kern w:val="2"/>
      <w:sz w:val="22"/>
    </w:rPr>
  </w:style>
  <w:style w:type="paragraph" w:styleId="3">
    <w:name w:val="Body Text Indent"/>
    <w:basedOn w:val="1"/>
    <w:qFormat/>
    <w:uiPriority w:val="0"/>
    <w:pPr>
      <w:ind w:left="420" w:leftChars="200"/>
    </w:pPr>
    <w:rPr>
      <w:kern w:val="0"/>
      <w:sz w:val="20"/>
      <w:szCs w:val="20"/>
    </w:rPr>
  </w:style>
  <w:style w:type="paragraph" w:styleId="4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2020-11-26T04:25:00Z</dcterms:created>
  <dc:creator>圆锅</dc:creator>
  <cp:lastModifiedBy>ぺ灬cc果冻ル</cp:lastModifiedBy>
  <dcterms:modified xsi:type="dcterms:W3CDTF">2020-11-26T08:50:26Z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