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DBDBDB" w:sz="4" w:space="12"/>
          <w:right w:val="none" w:color="auto" w:sz="0" w:space="0"/>
        </w:pBdr>
        <w:spacing w:before="0" w:beforeAutospacing="0" w:after="0" w:afterAutospacing="0" w:line="480" w:lineRule="atLeast"/>
        <w:ind w:left="0" w:right="0"/>
        <w:jc w:val="center"/>
        <w:rPr>
          <w:b/>
          <w:sz w:val="36"/>
          <w:szCs w:val="36"/>
        </w:rPr>
      </w:pPr>
      <w:r>
        <w:rPr>
          <w:b/>
          <w:i w:val="0"/>
          <w:caps w:val="0"/>
          <w:color w:val="333333"/>
          <w:spacing w:val="0"/>
          <w:sz w:val="36"/>
          <w:szCs w:val="36"/>
          <w:bdr w:val="none" w:color="auto" w:sz="0" w:space="0"/>
          <w:shd w:val="clear" w:fill="FFFFFF"/>
        </w:rPr>
        <w:t>2020年下半年蕉城区、屏南县、霞浦县事业单位公开招聘工作人员考试个别岗位计划调整或不予开考的公告</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ind w:left="0" w:right="0"/>
        <w:jc w:val="center"/>
        <w:rPr>
          <w:color w:val="666666"/>
        </w:rPr>
      </w:pPr>
      <w:r>
        <w:rPr>
          <w:rFonts w:ascii="微软雅黑" w:hAnsi="微软雅黑" w:eastAsia="微软雅黑" w:cs="微软雅黑"/>
          <w:i w:val="0"/>
          <w:caps w:val="0"/>
          <w:color w:val="666666"/>
          <w:spacing w:val="0"/>
          <w:sz w:val="16"/>
          <w:szCs w:val="16"/>
          <w:bdr w:val="none" w:color="auto" w:sz="0" w:space="0"/>
          <w:shd w:val="clear" w:fill="FFFFFF"/>
        </w:rPr>
        <w:t>发布时间： 2020-11-24 15:19</w:t>
      </w:r>
      <w:r>
        <w:rPr>
          <w:rFonts w:hint="eastAsia" w:ascii="微软雅黑" w:hAnsi="微软雅黑" w:eastAsia="微软雅黑" w:cs="微软雅黑"/>
          <w:i w:val="0"/>
          <w:caps w:val="0"/>
          <w:color w:val="666666"/>
          <w:spacing w:val="0"/>
          <w:sz w:val="16"/>
          <w:szCs w:val="16"/>
          <w:bdr w:val="none" w:color="auto" w:sz="0" w:space="0"/>
          <w:shd w:val="clear" w:fill="FFFFFF"/>
        </w:rPr>
        <w:t>点击数：46 字体： </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6"/>
          <w:szCs w:val="16"/>
          <w:u w:val="none"/>
          <w:bdr w:val="none" w:color="auto" w:sz="0" w:space="0"/>
          <w:shd w:val="clear" w:fill="FFFFFF"/>
        </w:rPr>
        <w:instrText xml:space="preserve"> HYPERLINK "http://rsj.ningde.gov.cn/zwgk/gsgg/202011/javascript:void(0)" </w:instrTex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caps w:val="0"/>
          <w:color w:val="333333"/>
          <w:spacing w:val="0"/>
          <w:sz w:val="16"/>
          <w:szCs w:val="16"/>
          <w:u w:val="none"/>
          <w:bdr w:val="none" w:color="auto" w:sz="0" w:space="0"/>
          <w:shd w:val="clear" w:fill="FFFFFF"/>
        </w:rPr>
        <w:t>大</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end"/>
      </w:r>
      <w:r>
        <w:rPr>
          <w:rFonts w:hint="eastAsia" w:ascii="微软雅黑" w:hAnsi="微软雅黑" w:eastAsia="微软雅黑" w:cs="微软雅黑"/>
          <w:i w:val="0"/>
          <w:caps w:val="0"/>
          <w:color w:val="666666"/>
          <w:spacing w:val="0"/>
          <w:sz w:val="16"/>
          <w:szCs w:val="16"/>
          <w:bdr w:val="none" w:color="auto" w:sz="0" w:space="0"/>
          <w:shd w:val="clear" w:fill="FFFFFF"/>
        </w:rPr>
        <w:t>  </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6"/>
          <w:szCs w:val="16"/>
          <w:u w:val="none"/>
          <w:bdr w:val="none" w:color="auto" w:sz="0" w:space="0"/>
          <w:shd w:val="clear" w:fill="FFFFFF"/>
        </w:rPr>
        <w:instrText xml:space="preserve"> HYPERLINK "http://rsj.ningde.gov.cn/zwgk/gsgg/202011/javascript:void(0)" </w:instrTex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caps w:val="0"/>
          <w:color w:val="333333"/>
          <w:spacing w:val="0"/>
          <w:sz w:val="16"/>
          <w:szCs w:val="16"/>
          <w:u w:val="none"/>
          <w:bdr w:val="none" w:color="auto" w:sz="0" w:space="0"/>
          <w:shd w:val="clear" w:fill="FFFFFF"/>
        </w:rPr>
        <w:t>中</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end"/>
      </w:r>
      <w:r>
        <w:rPr>
          <w:rFonts w:hint="eastAsia" w:ascii="微软雅黑" w:hAnsi="微软雅黑" w:eastAsia="微软雅黑" w:cs="微软雅黑"/>
          <w:i w:val="0"/>
          <w:caps w:val="0"/>
          <w:color w:val="666666"/>
          <w:spacing w:val="0"/>
          <w:sz w:val="16"/>
          <w:szCs w:val="16"/>
          <w:bdr w:val="none" w:color="auto" w:sz="0" w:space="0"/>
          <w:shd w:val="clear" w:fill="FFFFFF"/>
        </w:rPr>
        <w:t>  </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caps w:val="0"/>
          <w:color w:val="333333"/>
          <w:spacing w:val="0"/>
          <w:sz w:val="16"/>
          <w:szCs w:val="16"/>
          <w:u w:val="none"/>
          <w:bdr w:val="none" w:color="auto" w:sz="0" w:space="0"/>
          <w:shd w:val="clear" w:fill="FFFFFF"/>
        </w:rPr>
        <w:instrText xml:space="preserve"> HYPERLINK "http://rsj.ningde.gov.cn/zwgk/gsgg/202011/javascript:void(0)" </w:instrTex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separate"/>
      </w:r>
      <w:r>
        <w:rPr>
          <w:rStyle w:val="8"/>
          <w:rFonts w:hint="eastAsia" w:ascii="微软雅黑" w:hAnsi="微软雅黑" w:eastAsia="微软雅黑" w:cs="微软雅黑"/>
          <w:i w:val="0"/>
          <w:caps w:val="0"/>
          <w:color w:val="333333"/>
          <w:spacing w:val="0"/>
          <w:sz w:val="16"/>
          <w:szCs w:val="16"/>
          <w:u w:val="none"/>
          <w:bdr w:val="none" w:color="auto" w:sz="0" w:space="0"/>
          <w:shd w:val="clear" w:fill="FFFFFF"/>
        </w:rPr>
        <w:t>小</w:t>
      </w:r>
      <w:r>
        <w:rPr>
          <w:rFonts w:hint="eastAsia" w:ascii="微软雅黑" w:hAnsi="微软雅黑" w:eastAsia="微软雅黑" w:cs="微软雅黑"/>
          <w:i w:val="0"/>
          <w:caps w:val="0"/>
          <w:color w:val="333333"/>
          <w:spacing w:val="0"/>
          <w:sz w:val="16"/>
          <w:szCs w:val="16"/>
          <w:u w:val="none"/>
          <w:bdr w:val="none" w:color="auto" w:sz="0" w:space="0"/>
          <w:shd w:val="clear" w:fill="FFFFFF"/>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根据2020年下半年蕉城区、屏南县、霞浦县事业单位公开招聘工作人员考试报名情况，经征求用人单位及主管部门意见，各县（区）人社局研究决定以下岗位减少招聘计划或不开考，现予以公告。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一、减少招聘计划：</w:t>
      </w:r>
    </w:p>
    <w:tbl>
      <w:tblPr>
        <w:tblW w:w="7200" w:type="dxa"/>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572"/>
        <w:gridCol w:w="1465"/>
        <w:gridCol w:w="838"/>
        <w:gridCol w:w="520"/>
        <w:gridCol w:w="494"/>
        <w:gridCol w:w="617"/>
        <w:gridCol w:w="1372"/>
        <w:gridCol w:w="1322"/>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trHeight w:val="645"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36"/>
                <w:szCs w:val="36"/>
                <w:bdr w:val="none" w:color="auto" w:sz="0" w:space="0"/>
                <w:lang w:val="en-US" w:eastAsia="zh-CN" w:bidi="ar"/>
              </w:rPr>
              <w:t>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19"/>
                <w:szCs w:val="19"/>
                <w:bdr w:val="none" w:color="auto" w:sz="0" w:space="0"/>
                <w:lang w:val="en-US" w:eastAsia="zh-CN" w:bidi="ar"/>
              </w:rPr>
              <w:t>代码</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用人单位</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招聘岗位</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36"/>
                <w:szCs w:val="36"/>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19"/>
                <w:szCs w:val="19"/>
                <w:bdr w:val="none" w:color="auto" w:sz="0" w:space="0"/>
                <w:lang w:val="en-US" w:eastAsia="zh-CN" w:bidi="ar"/>
              </w:rPr>
              <w:t>计划</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36"/>
                <w:szCs w:val="36"/>
                <w:bdr w:val="none" w:color="auto" w:sz="0" w:space="0"/>
                <w:lang w:val="en-US" w:eastAsia="zh-CN" w:bidi="ar"/>
              </w:rPr>
              <w:t>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19"/>
                <w:szCs w:val="19"/>
                <w:bdr w:val="none" w:color="auto" w:sz="0" w:space="0"/>
                <w:lang w:val="en-US" w:eastAsia="zh-CN" w:bidi="ar"/>
              </w:rPr>
              <w:t>人数</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现招聘计划</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调整结果</w:t>
            </w:r>
          </w:p>
        </w:tc>
        <w:tc>
          <w:tcPr>
            <w:tcW w:w="201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调整原因</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600"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4022</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屏南县医院</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专业技术</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2</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减少招聘计划</w:t>
            </w:r>
          </w:p>
        </w:tc>
        <w:tc>
          <w:tcPr>
            <w:tcW w:w="201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招考计划数与报名人数未达到 1:3</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800"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6029</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霞浦县溪南、海岛林业站等</w:t>
            </w:r>
            <w:r>
              <w:rPr>
                <w:rFonts w:hint="eastAsia" w:ascii="宋体" w:hAnsi="宋体" w:eastAsia="宋体" w:cs="宋体"/>
                <w:kern w:val="0"/>
                <w:sz w:val="19"/>
                <w:szCs w:val="19"/>
                <w:bdr w:val="none" w:color="auto" w:sz="0" w:space="0"/>
                <w:lang w:val="en-US" w:eastAsia="zh-CN" w:bidi="ar"/>
              </w:rPr>
              <w:t>2个单位</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专业技术</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2</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2</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减少招聘计划，开考单位为霞浦县溪南林业站</w:t>
            </w:r>
          </w:p>
        </w:tc>
        <w:tc>
          <w:tcPr>
            <w:tcW w:w="201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招考计划数与报名人数未达到 1:3</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600"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6037</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福建省霞浦县医院</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专业技术</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3</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减少招聘计划</w:t>
            </w:r>
          </w:p>
        </w:tc>
        <w:tc>
          <w:tcPr>
            <w:tcW w:w="201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招考计划数与报名人数未达到 1:3</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0" w:afterAutospacing="0" w:line="384" w:lineRule="atLeast"/>
        <w:ind w:left="0" w:right="0" w:firstLine="0"/>
        <w:jc w:val="left"/>
        <w:rPr>
          <w:rFonts w:hint="eastAsia" w:ascii="宋体" w:hAnsi="宋体" w:eastAsia="宋体" w:cs="宋体"/>
          <w:i w:val="0"/>
          <w:caps w:val="0"/>
          <w:color w:val="333333"/>
          <w:spacing w:val="0"/>
          <w:sz w:val="19"/>
          <w:szCs w:val="19"/>
        </w:rPr>
      </w:pPr>
      <w:r>
        <w:rPr>
          <w:rFonts w:hint="eastAsia" w:ascii="宋体" w:hAnsi="宋体" w:eastAsia="宋体" w:cs="宋体"/>
          <w:i w:val="0"/>
          <w:caps w:val="0"/>
          <w:color w:val="333333"/>
          <w:spacing w:val="0"/>
          <w:kern w:val="0"/>
          <w:sz w:val="27"/>
          <w:szCs w:val="27"/>
          <w:bdr w:val="none" w:color="auto" w:sz="0" w:space="0"/>
          <w:shd w:val="clear" w:fill="FFFFFF"/>
          <w:lang w:val="en-US" w:eastAsia="zh-CN" w:bidi="ar"/>
        </w:rPr>
        <w:t>    二、不开考岗位：</w:t>
      </w:r>
    </w:p>
    <w:tbl>
      <w:tblPr>
        <w:tblW w:w="7200" w:type="dxa"/>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579"/>
        <w:gridCol w:w="1797"/>
        <w:gridCol w:w="1072"/>
        <w:gridCol w:w="581"/>
        <w:gridCol w:w="545"/>
        <w:gridCol w:w="936"/>
        <w:gridCol w:w="169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trHeight w:val="645"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36"/>
                <w:szCs w:val="36"/>
                <w:bdr w:val="none" w:color="auto" w:sz="0" w:space="0"/>
                <w:lang w:val="en-US" w:eastAsia="zh-CN" w:bidi="ar"/>
              </w:rPr>
              <w:t>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19"/>
                <w:szCs w:val="19"/>
                <w:bdr w:val="none" w:color="auto" w:sz="0" w:space="0"/>
                <w:lang w:val="en-US" w:eastAsia="zh-CN" w:bidi="ar"/>
              </w:rPr>
              <w:t>代码</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用人单位</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招聘岗位</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36"/>
                <w:szCs w:val="36"/>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19"/>
                <w:szCs w:val="19"/>
                <w:bdr w:val="none" w:color="auto" w:sz="0" w:space="0"/>
                <w:lang w:val="en-US" w:eastAsia="zh-CN" w:bidi="ar"/>
              </w:rPr>
              <w:t>计划</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36"/>
                <w:szCs w:val="36"/>
                <w:bdr w:val="none" w:color="auto" w:sz="0" w:space="0"/>
                <w:lang w:val="en-US" w:eastAsia="zh-CN" w:bidi="ar"/>
              </w:rPr>
              <w:t>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19"/>
                <w:szCs w:val="19"/>
                <w:bdr w:val="none" w:color="auto" w:sz="0" w:space="0"/>
                <w:lang w:val="en-US" w:eastAsia="zh-CN" w:bidi="ar"/>
              </w:rPr>
              <w:t>人数</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调整</w:t>
            </w:r>
            <w:r>
              <w:rPr>
                <w:rFonts w:hint="eastAsia" w:ascii="宋体" w:hAnsi="宋体" w:eastAsia="宋体" w:cs="宋体"/>
                <w:kern w:val="0"/>
                <w:sz w:val="19"/>
                <w:szCs w:val="19"/>
                <w:bdr w:val="none" w:color="auto" w:sz="0" w:space="0"/>
                <w:lang w:val="en-US" w:eastAsia="zh-CN" w:bidi="ar"/>
              </w:rPr>
              <w:t>  </w:t>
            </w:r>
            <w:r>
              <w:rPr>
                <w:rFonts w:hint="eastAsia" w:ascii="宋体" w:hAnsi="宋体" w:eastAsia="宋体" w:cs="宋体"/>
                <w:kern w:val="0"/>
                <w:sz w:val="27"/>
                <w:szCs w:val="27"/>
                <w:bdr w:val="none" w:color="auto" w:sz="0" w:space="0"/>
                <w:lang w:val="en-US" w:eastAsia="zh-CN" w:bidi="ar"/>
              </w:rPr>
              <w:t>结果</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调整原因</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645"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2037</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蕉城区爱国卫生运动技术指导中心</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专业技术</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2</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不开考</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招考计划数与报名人数未达到 1:3</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645"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2083</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蕉城区妇幼保健院</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专业技术</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不开考</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招考计划数与报名人数未达到 1:3</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trHeight w:val="645" w:hRule="atLeast"/>
          <w:jc w:val="center"/>
        </w:trPr>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2091</w:t>
            </w:r>
          </w:p>
        </w:tc>
        <w:tc>
          <w:tcPr>
            <w:tcW w:w="21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蕉城区九都卫生院</w:t>
            </w:r>
          </w:p>
        </w:tc>
        <w:tc>
          <w:tcPr>
            <w:tcW w:w="126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专业技术</w:t>
            </w:r>
          </w:p>
        </w:tc>
        <w:tc>
          <w:tcPr>
            <w:tcW w:w="63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58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1</w:t>
            </w:r>
          </w:p>
        </w:tc>
        <w:tc>
          <w:tcPr>
            <w:tcW w:w="870"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不开考</w:t>
            </w:r>
          </w:p>
        </w:tc>
        <w:tc>
          <w:tcPr>
            <w:tcW w:w="1995" w:type="dxa"/>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0" w:afterAutospacing="0" w:line="384" w:lineRule="atLeast"/>
              <w:ind w:left="0" w:right="0"/>
              <w:jc w:val="center"/>
              <w:rPr>
                <w:rFonts w:hint="eastAsia" w:ascii="宋体" w:hAnsi="宋体" w:eastAsia="宋体" w:cs="宋体"/>
                <w:sz w:val="19"/>
                <w:szCs w:val="19"/>
              </w:rPr>
            </w:pPr>
            <w:r>
              <w:rPr>
                <w:rFonts w:hint="eastAsia" w:ascii="宋体" w:hAnsi="宋体" w:eastAsia="宋体" w:cs="宋体"/>
                <w:kern w:val="0"/>
                <w:sz w:val="27"/>
                <w:szCs w:val="27"/>
                <w:bdr w:val="none" w:color="auto" w:sz="0" w:space="0"/>
                <w:lang w:val="en-US" w:eastAsia="zh-CN" w:bidi="ar"/>
              </w:rPr>
              <w:t>招考计划数与报名人数未达到 1:3</w:t>
            </w:r>
          </w:p>
        </w:tc>
      </w:tr>
    </w:tbl>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15C17"/>
    <w:rsid w:val="005A24E7"/>
    <w:rsid w:val="00F15C17"/>
    <w:rsid w:val="7F2F5E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Hyperlink"/>
    <w:basedOn w:val="7"/>
    <w:semiHidden/>
    <w:unhideWhenUsed/>
    <w:uiPriority w:val="99"/>
    <w:rPr>
      <w:color w:val="0000FF"/>
      <w:u w:val="single"/>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Words>
  <Characters>98</Characters>
  <Lines>1</Lines>
  <Paragraphs>1</Paragraphs>
  <TotalTime>0</TotalTime>
  <ScaleCrop>false</ScaleCrop>
  <LinksUpToDate>false</LinksUpToDate>
  <CharactersWithSpaces>114</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2020-11-24T02:41:00Z</dcterms:created>
  <dc:creator>陈占东</dc:creator>
  <cp:lastModifiedBy>卜荣荣</cp:lastModifiedBy>
  <dcterms:modified xsi:type="dcterms:W3CDTF">2020-11-24T08:17:32Z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