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376" w:afterAutospacing="0" w:line="626" w:lineRule="atLeast"/>
        <w:ind w:left="0" w:right="0" w:firstLine="0"/>
        <w:jc w:val="center"/>
      </w:pPr>
      <w:bookmarkStart w:id="0" w:name="_GoBack"/>
      <w:r>
        <w:rPr>
          <w:rFonts w:hint="eastAsia" w:ascii="微软雅黑" w:hAnsi="微软雅黑" w:eastAsia="微软雅黑" w:cs="微软雅黑"/>
          <w:b/>
          <w:i w:val="0"/>
          <w:caps w:val="0"/>
          <w:color w:val="333333"/>
          <w:spacing w:val="0"/>
          <w:sz w:val="45"/>
          <w:szCs w:val="45"/>
          <w:bdr w:val="none" w:color="auto" w:sz="0" w:space="0"/>
          <w:shd w:val="clear" w:fill="FFFFFF"/>
        </w:rPr>
        <w:t>成都高新区审计局</w:t>
      </w:r>
      <w:r>
        <w:rPr>
          <w:rFonts w:ascii="微软雅黑" w:hAnsi="微软雅黑" w:eastAsia="微软雅黑" w:cs="微软雅黑"/>
          <w:b/>
          <w:i w:val="0"/>
          <w:caps w:val="0"/>
          <w:color w:val="333333"/>
          <w:spacing w:val="0"/>
          <w:kern w:val="0"/>
          <w:sz w:val="28"/>
          <w:szCs w:val="28"/>
          <w:bdr w:val="none" w:color="auto" w:sz="0" w:space="0"/>
          <w:shd w:val="clear" w:fill="FFFFFF"/>
          <w:lang w:val="en-US" w:eastAsia="zh-CN" w:bidi="ar"/>
        </w:rPr>
        <w:t>岗位情况表</w:t>
      </w:r>
    </w:p>
    <w:bookmarkEnd w:id="0"/>
    <w:tbl>
      <w:tblPr>
        <w:tblW w:w="14084" w:type="dxa"/>
        <w:jc w:val="center"/>
        <w:shd w:val="clear"/>
        <w:tblLayout w:type="autofit"/>
        <w:tblCellMar>
          <w:top w:w="15" w:type="dxa"/>
          <w:left w:w="15" w:type="dxa"/>
          <w:bottom w:w="15" w:type="dxa"/>
          <w:right w:w="15" w:type="dxa"/>
        </w:tblCellMar>
      </w:tblPr>
      <w:tblGrid>
        <w:gridCol w:w="1342"/>
        <w:gridCol w:w="1378"/>
        <w:gridCol w:w="1378"/>
        <w:gridCol w:w="3195"/>
        <w:gridCol w:w="6791"/>
      </w:tblGrid>
      <w:tr>
        <w:tblPrEx>
          <w:shd w:val="clear"/>
          <w:tblCellMar>
            <w:top w:w="15" w:type="dxa"/>
            <w:left w:w="15" w:type="dxa"/>
            <w:bottom w:w="15" w:type="dxa"/>
            <w:right w:w="15" w:type="dxa"/>
          </w:tblCellMar>
        </w:tblPrEx>
        <w:trPr>
          <w:trHeight w:val="587" w:hRule="atLeast"/>
          <w:jc w:val="center"/>
        </w:trPr>
        <w:tc>
          <w:tcPr>
            <w:tcW w:w="1342"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招聘单位</w:t>
            </w:r>
          </w:p>
        </w:tc>
        <w:tc>
          <w:tcPr>
            <w:tcW w:w="1378"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招聘岗位</w:t>
            </w:r>
          </w:p>
        </w:tc>
        <w:tc>
          <w:tcPr>
            <w:tcW w:w="1378"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招聘人数</w:t>
            </w:r>
          </w:p>
        </w:tc>
        <w:tc>
          <w:tcPr>
            <w:tcW w:w="319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岗位职责</w:t>
            </w:r>
          </w:p>
        </w:tc>
        <w:tc>
          <w:tcPr>
            <w:tcW w:w="679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岗位要求</w:t>
            </w:r>
          </w:p>
        </w:tc>
      </w:tr>
      <w:tr>
        <w:tblPrEx>
          <w:shd w:val="clear"/>
          <w:tblCellMar>
            <w:top w:w="15" w:type="dxa"/>
            <w:left w:w="15" w:type="dxa"/>
            <w:bottom w:w="15" w:type="dxa"/>
            <w:right w:w="15" w:type="dxa"/>
          </w:tblCellMar>
        </w:tblPrEx>
        <w:trPr>
          <w:trHeight w:val="841" w:hRule="atLeast"/>
          <w:jc w:val="center"/>
        </w:trPr>
        <w:tc>
          <w:tcPr>
            <w:tcW w:w="134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审计局</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固定资产投资审计专业技术人才岗</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2</w:t>
            </w:r>
          </w:p>
        </w:tc>
        <w:tc>
          <w:tcPr>
            <w:tcW w:w="319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（1）开展政府投资建设项目工程结算审计、跟踪审计及专项审计调查等工作，解决各种技术问题。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（2）负责运用大数据审计方法，对业务数据进行整理及分析，提供有价值的数据疑点。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（3）负责对交办的政府投资建设工程项目进行复核。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（4）研究处理相关行业部门提交的各种协同工作。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（5）负责采集撰写审计信息和审计动态等文稿，撰写有关审计中发现问题的材料。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（6）按时按质完成领导交办的其他工作。</w:t>
            </w:r>
          </w:p>
        </w:tc>
        <w:tc>
          <w:tcPr>
            <w:tcW w:w="67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（1）遵守中华人民共和国宪法、法律、法规；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（2）具有良好的职业道德和团队合作精神，愿意履行高新区专业技术人才的职责、义务；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（3）具有国内工学（08）、管理学（12）、理学（07）专业的全日制本科及以上学历，或者中国教育部认可的国外大学相关专业本科及以上学历（须在2020年10月26 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（4）身体健康，1984年10月26日后出生；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（5）同等条件下，中国共产党党员优先；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（6）同等条件下，具有驾驶执照，可以自行开车，能接受短途出差的优先考虑；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（7）在2020年10月26日前取得全国注册造价工程师（土建专业）或一级造价工程师资格。同等条件下，具备安装专业资格者优先考虑；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（8）具有4年（含4年）以上工程造价等相关工作经历（工作年限计算时间截止2020年10月26日），熟悉国家招投标、政府采购等方面的法律、法规；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（9）熟练掌握工程计量和计价软件；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（10）具有较强的独立工作能力、统筹协调能力及语言表达能力；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left"/>
            </w:pPr>
            <w:r>
              <w:rPr>
                <w:rFonts w:asciiTheme="minorHAnsi" w:hAnsiTheme="minorHAnsi" w:eastAsiaTheme="minorEastAsia" w:cstheme="minorBidi"/>
                <w:kern w:val="0"/>
                <w:sz w:val="24"/>
                <w:szCs w:val="24"/>
                <w:bdr w:val="none" w:color="auto" w:sz="0" w:space="0"/>
                <w:lang w:val="en-US" w:eastAsia="zh-CN" w:bidi="ar"/>
              </w:rPr>
              <w:t>（11）同等条件下，具有政府投资建设项目审计工作经验者优先考虑。</w:t>
            </w:r>
          </w:p>
        </w:tc>
      </w:tr>
      <w:tr>
        <w:tblPrEx>
          <w:tblCellMar>
            <w:top w:w="15" w:type="dxa"/>
            <w:left w:w="15" w:type="dxa"/>
            <w:bottom w:w="15" w:type="dxa"/>
            <w:right w:w="15" w:type="dxa"/>
          </w:tblCellMar>
        </w:tblPrEx>
        <w:trPr>
          <w:trHeight w:val="6369" w:hRule="atLeast"/>
          <w:jc w:val="center"/>
        </w:trPr>
        <w:tc>
          <w:tcPr>
            <w:tcW w:w="134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审计局</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财政财务审计专业技术人才岗</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3</w:t>
            </w:r>
          </w:p>
        </w:tc>
        <w:tc>
          <w:tcPr>
            <w:tcW w:w="319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（1）负责开展财政财务审计（调查）工作，撰写审计报告、审计专报、审计建议书、审计工作底稿、审计取证记录等审计文书，按时保质完成各项审计任务。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（2）负责运用大数据审计方法，对业务数据进行整理及分析，提供有价值的数据疑点。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（3）研究处理相关行业部门提交的各种协同工作。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（4）负责采集撰写审计信息和审计动态等文稿，撰写有关审计中发现问题的材料。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（5）按时按质完成领导交办的其他工作。</w:t>
            </w:r>
          </w:p>
        </w:tc>
        <w:tc>
          <w:tcPr>
            <w:tcW w:w="67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（1）遵守中华人民共和国宪法、法律、法规；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（2）具有良好的职业道德和团队合作精神，愿意履行高新区专业技术人才的职责、义务；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（3）具有国内全日制本科及以上学历，或者中国教育部认可的国外大学的本科及以上学历（须在2020年10月26日前取得相应学历学位证书）；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（4）身体健康，1984年10月26日后出生；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（5）同等条件下，中国共产党党员优先；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（6）同等条件下，具有驾驶执照，可以自行开车，能接受短途出差的优先考虑；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（7）在2020年10月26日前取得中国注册会计师、ACCA资格；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（8）具有3年（含3年）以上相关审计工作经验（工作年限计算时间截止2020年10月26日），且有较强的审计业务能力、独立工作能力、统筹协调能力及语言表达能力；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（9）同等条件下，具有较好的大数据处理分析能力及较为丰富的计算机审计经验者优先考虑，会使用SQL Server或Oracle数据库进行数据查询及分析的优先考虑。</w:t>
            </w:r>
          </w:p>
        </w:tc>
      </w:tr>
      <w:tr>
        <w:tblPrEx>
          <w:shd w:val="clear"/>
          <w:tblCellMar>
            <w:top w:w="15" w:type="dxa"/>
            <w:left w:w="15" w:type="dxa"/>
            <w:bottom w:w="15" w:type="dxa"/>
            <w:right w:w="15" w:type="dxa"/>
          </w:tblCellMar>
        </w:tblPrEx>
        <w:trPr>
          <w:trHeight w:val="2492" w:hRule="atLeast"/>
          <w:jc w:val="center"/>
        </w:trPr>
        <w:tc>
          <w:tcPr>
            <w:tcW w:w="134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审计局</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大数据审计专业技术人才岗</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1</w:t>
            </w:r>
          </w:p>
        </w:tc>
        <w:tc>
          <w:tcPr>
            <w:tcW w:w="319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（1）负责审计信息化建设，能牵头开发、维护工作需要的软件和系统。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（2）采集、存储、管理审计大数据信息，确保数据安全完整。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（3）牵头负责审计网络信息和数据安全的建设、宣传、培训。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（4）运用大数据方法对数据进行整理及分析，提供有价值的数据疑点。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（5）按时按质完成领导交办的其他工作。</w:t>
            </w:r>
          </w:p>
        </w:tc>
        <w:tc>
          <w:tcPr>
            <w:tcW w:w="67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（1）遵守中华人民共和国宪法、法律、法规；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（2）具有良好的职业道德和团队合作精神，愿意履行高新区专业技术人才的职责、义务；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（3）具有国内工学（08）、经济学（02）、管理学（12）、理学（07）专业的全日制本科及以上学历，或者中国教育部认可的国外大学相关专业本科及以上学历（须在2020年10月26日前取得相应学历学位证书）；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（4）身体健康，1984年10月26日后出生；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（5）同等条件下，中国共产党党员优先；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（6）同等条件下，具有驾驶执照，可以自行开车，能接受短途出差的优先考虑；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（7）在2020年10月26日前取得计算机技术与软件专业技术高级资格或Oracle、SQL Server等主流数据库相应级别认证，大数据处理分析能力较强，能使用Oracle、SQL Server数据库、Python等进行数据查询及分析；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（8）具有3年（含3年）以上审计工作经验（工作年限计算时间截止2020年10月26日），能在指导下较为独立地完成各项审计任务；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（9）同等条件下，具备中国注册会计师、ACCA资格者优先考虑。</w:t>
            </w:r>
          </w:p>
        </w:tc>
      </w:tr>
      <w:tr>
        <w:tblPrEx>
          <w:shd w:val="clear"/>
          <w:tblCellMar>
            <w:top w:w="15" w:type="dxa"/>
            <w:left w:w="15" w:type="dxa"/>
            <w:bottom w:w="15" w:type="dxa"/>
            <w:right w:w="15" w:type="dxa"/>
          </w:tblCellMar>
        </w:tblPrEx>
        <w:trPr>
          <w:trHeight w:val="509" w:hRule="atLeast"/>
          <w:jc w:val="center"/>
        </w:trPr>
        <w:tc>
          <w:tcPr>
            <w:tcW w:w="2720"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合计</w:t>
            </w:r>
          </w:p>
        </w:tc>
        <w:tc>
          <w:tcPr>
            <w:tcW w:w="1378"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6</w:t>
            </w:r>
          </w:p>
        </w:tc>
        <w:tc>
          <w:tcPr>
            <w:tcW w:w="9986" w:type="dxa"/>
            <w:gridSpan w:val="2"/>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kern w:val="0"/>
                <w:sz w:val="24"/>
                <w:szCs w:val="24"/>
                <w:bdr w:val="none" w:color="auto" w:sz="0" w:space="0"/>
                <w:lang w:val="en-US" w:eastAsia="zh-CN" w:bidi="ar"/>
              </w:rPr>
              <w:t>/</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 w:lineRule="atLeast"/>
        <w:ind w:left="0" w:right="0" w:firstLine="420"/>
        <w:jc w:val="left"/>
        <w:rPr>
          <w:rFonts w:hint="eastAsia" w:ascii="微软雅黑" w:hAnsi="微软雅黑" w:eastAsia="微软雅黑" w:cs="微软雅黑"/>
          <w:i w:val="0"/>
          <w:caps w:val="0"/>
          <w:color w:val="333333"/>
          <w:spacing w:val="0"/>
          <w:sz w:val="24"/>
          <w:szCs w:val="24"/>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A2237"/>
    <w:rsid w:val="491A22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2020-10-26T13:00:00Z</dcterms:created>
  <dc:creator>ASUS</dc:creator>
  <cp:lastModifiedBy>ASUS</cp:lastModifiedBy>
  <dcterms:modified xsi:type="dcterms:W3CDTF">2020-10-26T13:01:01Z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