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2020年洛阳市社会科学界联合会下属事业单位招才引智职位表</w:t>
      </w:r>
    </w:p>
    <w:p>
      <w:pPr>
        <w:spacing w:line="420" w:lineRule="exact"/>
        <w:ind w:left="-659" w:leftChars="-320" w:right="-721" w:rightChars="-350" w:firstLine="192" w:firstLineChars="109"/>
        <w:rPr>
          <w:rFonts w:ascii="Times New Roman" w:hAnsi="Times New Roman" w:eastAsia="仿宋_GB2312" w:cs="Times New Roman"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kern w:val="0"/>
          <w:sz w:val="18"/>
          <w:szCs w:val="18"/>
        </w:rPr>
        <w:t xml:space="preserve">填报单位：洛阳市社会科学界联合会                                                                                                                       </w:t>
      </w:r>
    </w:p>
    <w:tbl>
      <w:tblPr>
        <w:tblStyle w:val="4"/>
        <w:tblW w:w="157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1798"/>
        <w:gridCol w:w="992"/>
        <w:gridCol w:w="2101"/>
        <w:gridCol w:w="1585"/>
        <w:gridCol w:w="1067"/>
        <w:gridCol w:w="1828"/>
        <w:gridCol w:w="1505"/>
        <w:gridCol w:w="1267"/>
        <w:gridCol w:w="1416"/>
        <w:gridCol w:w="145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序号</w:t>
            </w:r>
          </w:p>
        </w:tc>
        <w:tc>
          <w:tcPr>
            <w:tcW w:w="17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性质</w:t>
            </w:r>
          </w:p>
        </w:tc>
        <w:tc>
          <w:tcPr>
            <w:tcW w:w="21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专业或方向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学科类别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计划招聘人数</w:t>
            </w:r>
          </w:p>
        </w:tc>
        <w:tc>
          <w:tcPr>
            <w:tcW w:w="1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岗位条件</w:t>
            </w:r>
          </w:p>
        </w:tc>
        <w:tc>
          <w:tcPr>
            <w:tcW w:w="15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备注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工作地点</w:t>
            </w:r>
          </w:p>
        </w:tc>
        <w:tc>
          <w:tcPr>
            <w:tcW w:w="1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报考咨询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电话</w:t>
            </w:r>
          </w:p>
        </w:tc>
        <w:tc>
          <w:tcPr>
            <w:tcW w:w="14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</w:pPr>
            <w:r>
              <w:rPr>
                <w:rFonts w:ascii="Times New Roman" w:hAnsi="Times New Roman" w:eastAsia="楷体_GB2312" w:cs="Times New Roman"/>
                <w:bCs/>
                <w:kern w:val="0"/>
                <w:sz w:val="24"/>
              </w:rPr>
              <w:t>监督电话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0" w:hRule="exact"/>
          <w:jc w:val="center"/>
        </w:trPr>
        <w:tc>
          <w:tcPr>
            <w:tcW w:w="7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  <w:t>1</w:t>
            </w:r>
          </w:p>
        </w:tc>
        <w:tc>
          <w:tcPr>
            <w:tcW w:w="179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洛阳市社会科学院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财政全供</w:t>
            </w: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国民经济学（020201）、区域经济学（020202）、产业经济学（020205）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副高级及以上职称研究领域需为国民经济学、区域经济学、产业经济学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2" w:hRule="exact"/>
          <w:jc w:val="center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中国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近现代史基本问题研究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（030506）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、</w:t>
            </w:r>
          </w:p>
          <w:p>
            <w:pPr>
              <w:spacing w:line="28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马克思主义中国化研究</w:t>
            </w:r>
            <w:r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  <w:t>（</w:t>
            </w: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030503）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副高级及以上职称研究领域需为马克思主义中国化研究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74" w:hRule="exact"/>
          <w:jc w:val="center"/>
        </w:trPr>
        <w:tc>
          <w:tcPr>
            <w:tcW w:w="7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79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</w:p>
        </w:tc>
        <w:tc>
          <w:tcPr>
            <w:tcW w:w="21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历史地理学（060103）、中国古代史（060106）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二级学科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sz w:val="18"/>
                <w:szCs w:val="18"/>
              </w:rPr>
              <w:t>普通全日制博士研究生或副高级及以上职称</w:t>
            </w:r>
          </w:p>
        </w:tc>
        <w:tc>
          <w:tcPr>
            <w:tcW w:w="15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副高级及以上职称研究领域需为历史地理学、中国古代史</w:t>
            </w:r>
          </w:p>
        </w:tc>
        <w:tc>
          <w:tcPr>
            <w:tcW w:w="12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洛阳市</w:t>
            </w:r>
          </w:p>
        </w:tc>
        <w:tc>
          <w:tcPr>
            <w:tcW w:w="141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0379-63205141</w:t>
            </w:r>
          </w:p>
        </w:tc>
        <w:tc>
          <w:tcPr>
            <w:tcW w:w="14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</w:rPr>
              <w:t>0379-63933015</w:t>
            </w:r>
          </w:p>
        </w:tc>
      </w:tr>
    </w:tbl>
    <w:p>
      <w:pPr>
        <w:spacing w:line="200" w:lineRule="exact"/>
        <w:jc w:val="left"/>
        <w:rPr>
          <w:rFonts w:ascii="Times New Roman" w:hAnsi="Times New Roman" w:eastAsia="仿宋_GB2312" w:cs="Times New Roman"/>
          <w:kern w:val="0"/>
          <w:sz w:val="18"/>
          <w:szCs w:val="18"/>
        </w:rPr>
      </w:pPr>
    </w:p>
    <w:p>
      <w:pPr>
        <w:spacing w:line="280" w:lineRule="exact"/>
        <w:ind w:left="-782" w:leftChars="-380" w:right="-782" w:rightChars="-380" w:firstLine="349" w:firstLineChars="198"/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注：1. 自2017年起，由国家统一下达招生计划的全日制和非全日制研究生，按照教育部办公厅等五部门《关于进一步做好非全日制研究生就业工作的通知》（教研厅函〔2019〕1号）相关规定执行；</w:t>
      </w:r>
    </w:p>
    <w:p>
      <w:pPr>
        <w:spacing w:line="280" w:lineRule="exact"/>
        <w:ind w:left="-782" w:leftChars="-380" w:right="-782" w:rightChars="-380" w:firstLine="699" w:firstLineChars="397"/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2. 对报考专业的审查以毕业证上记载的专业名称为准；</w:t>
      </w:r>
    </w:p>
    <w:p>
      <w:pPr>
        <w:spacing w:line="280" w:lineRule="exact"/>
        <w:ind w:left="-782" w:leftChars="-380" w:right="-782" w:rightChars="-380" w:firstLine="699" w:firstLineChars="397"/>
        <w:rPr>
          <w:rFonts w:ascii="Times New Roman" w:hAnsi="Times New Roman" w:eastAsia="仿宋_GB2312" w:cs="Times New Roman"/>
          <w:kern w:val="0"/>
          <w:sz w:val="18"/>
          <w:szCs w:val="18"/>
        </w:rPr>
        <w:sectPr>
          <w:footerReference r:id="rId3" w:type="default"/>
          <w:pgSz w:w="16838" w:h="11906" w:orient="landscape"/>
          <w:pgMar w:top="2098" w:right="1474" w:bottom="1985" w:left="1588" w:header="0" w:footer="1106" w:gutter="0"/>
          <w:cols w:space="720" w:num="1"/>
          <w:docGrid w:type="linesAndChars" w:linePitch="579" w:charSpace="-849"/>
        </w:sectPr>
      </w:pPr>
      <w:r>
        <w:rPr>
          <w:rFonts w:ascii="Times New Roman" w:hAnsi="Times New Roman" w:eastAsia="仿宋_GB2312" w:cs="Times New Roman"/>
          <w:b/>
          <w:bCs/>
          <w:kern w:val="0"/>
          <w:sz w:val="18"/>
          <w:szCs w:val="18"/>
        </w:rPr>
        <w:t>3. 报考咨询和监督电话请于工作日工作时间拨打</w:t>
      </w:r>
    </w:p>
    <w:p>
      <w:pPr>
        <w:spacing w:line="20" w:lineRule="exact"/>
        <w:ind w:right="-145" w:rightChars="-63"/>
        <w:rPr>
          <w:rFonts w:ascii="Times New Roman" w:hAnsi="Times New Roman" w:cs="Times New Roman"/>
        </w:rPr>
      </w:pPr>
    </w:p>
    <w:p/>
    <w:sectPr>
      <w:headerReference r:id="rId4" w:type="default"/>
      <w:footerReference r:id="rId6" w:type="default"/>
      <w:headerReference r:id="rId5" w:type="even"/>
      <w:footerReference r:id="rId7" w:type="even"/>
      <w:pgSz w:w="11907" w:h="16840"/>
      <w:pgMar w:top="1985" w:right="1474" w:bottom="1418" w:left="1644" w:header="851" w:footer="1588" w:gutter="0"/>
      <w:cols w:space="720" w:num="1"/>
      <w:docGrid w:type="linesAndChars" w:linePitch="652" w:charSpace="4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4122" w:y="-64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eastAsia="仿宋_GB2312" w:cs="Times New Roman"/>
        <w:sz w:val="28"/>
        <w:szCs w:val="28"/>
      </w:rPr>
      <w:t>—</w:t>
    </w:r>
    <w:r>
      <w:rPr>
        <w:rStyle w:val="6"/>
        <w:rFonts w:ascii="Times New Roman" w:hAnsi="Times New Roman" w:cs="Times New Roman"/>
        <w:sz w:val="28"/>
        <w:szCs w:val="28"/>
      </w:rPr>
      <w:t xml:space="preserve"> 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8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Style w:val="6"/>
        <w:rFonts w:ascii="Times New Roman" w:hAnsi="Times New Roman" w:cs="Times New Roman"/>
        <w:sz w:val="28"/>
        <w:szCs w:val="28"/>
      </w:rPr>
      <w:t xml:space="preserve"> </w:t>
    </w:r>
    <w:r>
      <w:rPr>
        <w:rStyle w:val="6"/>
        <w:rFonts w:ascii="Times New Roman" w:hAnsi="Times New Roman" w:eastAsia="仿宋_GB2312" w:cs="Times New Roman"/>
        <w:sz w:val="28"/>
        <w:szCs w:val="28"/>
      </w:rPr>
      <w:t>—</w:t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</w:p>
                        <w:p>
                          <w:pPr>
                            <w:pStyle w:val="2"/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10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6"/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aePyQxoCAAAh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>
                    <w:pPr>
                      <w:pStyle w:val="2"/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>10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6"/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8C08DF"/>
    <w:rsid w:val="7195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2020-09-19T01:56:31Z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