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CellSpacing w:w="0" w:type="dxa"/>
        <w:tblInd w:w="1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72"/>
        <w:gridCol w:w="852"/>
        <w:gridCol w:w="373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4" w:lineRule="atLeast"/>
              <w:ind w:left="0" w:firstLine="420"/>
              <w:jc w:val="left"/>
            </w:pPr>
            <w:r>
              <w:rPr>
                <w:rStyle w:val="5"/>
                <w:rFonts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招聘岗位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4" w:lineRule="atLeast"/>
              <w:ind w:lef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人数</w:t>
            </w:r>
          </w:p>
        </w:tc>
        <w:tc>
          <w:tcPr>
            <w:tcW w:w="3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tblCellSpacing w:w="0" w:type="dxa"/>
        </w:trPr>
        <w:tc>
          <w:tcPr>
            <w:tcW w:w="27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经营部高级主管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工程类专业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7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经营部经营主管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工程类专业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造价工程师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工程相关专业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blCellSpacing w:w="0" w:type="dxa"/>
        </w:trPr>
        <w:tc>
          <w:tcPr>
            <w:tcW w:w="27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检测工程师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港口航道与海岸工程、土木工程、工程测量、水利工程、结构工程、岩土工程等工程类相关专业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7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水运工程持证监理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港口与航道，港口机电及相关专业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7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土建工程持证监理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房建、水电安装及相关专业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7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工程项目管理（代建/咨询）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港口与航道、土木工程、工程管理及相关工程类专业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7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招标师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64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5"/>
                <w:szCs w:val="15"/>
                <w:bdr w:val="none" w:color="auto" w:sz="0" w:space="0"/>
              </w:rPr>
              <w:t>工程相关专业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DE5980"/>
    <w:rsid w:val="0C8E723F"/>
    <w:rsid w:val="132F36F8"/>
    <w:rsid w:val="49DE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2020-09-17T03:17:00Z</dcterms:created>
  <dc:creator>ぺ灬cc果冻ル</dc:creator>
  <cp:lastModifiedBy>ぺ灬cc果冻ル</cp:lastModifiedBy>
  <dcterms:modified xsi:type="dcterms:W3CDTF">2020-09-17T04:04:26Z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