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562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  <w:r>
        <w:rPr>
          <w:rFonts w:ascii="黑体" w:hAnsi="宋体" w:eastAsia="黑体" w:cs="黑体"/>
          <w:b/>
          <w:i w:val="0"/>
          <w:caps w:val="0"/>
          <w:color w:val="555555"/>
          <w:spacing w:val="0"/>
          <w:sz w:val="28"/>
          <w:szCs w:val="28"/>
          <w:bdr w:val="none" w:color="auto" w:sz="0" w:space="0"/>
        </w:rPr>
        <w:t>岗位、学历、职称需求表：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2825"/>
        <w:gridCol w:w="866"/>
        <w:gridCol w:w="1362"/>
        <w:gridCol w:w="1420"/>
        <w:gridCol w:w="15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6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16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职称要求</w:t>
            </w:r>
          </w:p>
        </w:tc>
        <w:tc>
          <w:tcPr>
            <w:tcW w:w="16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备  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2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外科：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  神经外科、胸外科、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36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心脏外科、骨  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36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麻醉学、泌尿外科、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36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泌尿外科、妇产科、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36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耳鼻喉科、眼  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36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口腔科、 普通外科（含肝胆、胃肠、甲状腺、乳腺）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全日制本科学历及以上</w:t>
            </w:r>
          </w:p>
        </w:tc>
        <w:tc>
          <w:tcPr>
            <w:tcW w:w="16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1、住院医师（有执业医师证和规培证）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2、主治医师</w:t>
            </w:r>
          </w:p>
        </w:tc>
        <w:tc>
          <w:tcPr>
            <w:tcW w:w="16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内科：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 神经内科、血液内科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心血管内科、消化内科、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24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内分泌科、呼吸内科、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24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肿瘤化疗、肾内科、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风湿性疾病科、肿瘤放疗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精神疾病科、心理医师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 w:firstLine="12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医学影像诊断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脑电图诊断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肿瘤介入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外周血管介入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2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病理诊断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心脏彩超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F419D"/>
    <w:rsid w:val="346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2020-08-17T02:45:00Z</dcterms:created>
  <dc:creator>那时花开咖啡馆。</dc:creator>
  <cp:lastModifiedBy>那时花开咖啡馆。</cp:lastModifiedBy>
  <dcterms:modified xsi:type="dcterms:W3CDTF">2020-08-17T04:01:19Z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