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1051"/>
        <w:tblOverlap w:val="never"/>
        <w:tblW w:w="1396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2"/>
        <w:gridCol w:w="1115"/>
        <w:gridCol w:w="1396"/>
        <w:gridCol w:w="697"/>
        <w:gridCol w:w="2371"/>
        <w:gridCol w:w="2372"/>
        <w:gridCol w:w="4045"/>
        <w:gridCol w:w="139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13965" w:type="dxa"/>
            <w:gridSpan w:val="8"/>
            <w:vAlign w:val="center"/>
          </w:tcPr>
          <w:p>
            <w:pPr>
              <w:widowControl/>
              <w:spacing w:beforeLines="50"/>
              <w:jc w:val="left"/>
              <w:textAlignment w:val="center"/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附件1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2020年离石区公开招聘专任教师岗位表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招聘总数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学段学科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岗位 招聘数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专技岗位1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初中语文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硕士研究生35周岁及以下(1984年7月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  <w:lang w:val="en-US" w:eastAsia="zh-CN"/>
              </w:rPr>
              <w:t>28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日及以后出生)，博士研究生40周岁及以下(1979年7月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  <w:lang w:val="en-US" w:eastAsia="zh-CN"/>
              </w:rPr>
              <w:t>28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日及以后出生)</w:t>
            </w:r>
          </w:p>
        </w:tc>
        <w:tc>
          <w:tcPr>
            <w:tcW w:w="23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应届研究生及以上学历、硕士及以上学位。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汉语言与文秘类;语文教育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专技岗位2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初中数学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数学与统计类;数学教育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专技岗位3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初中英语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外国语言文学类（仅限英语）;英语教育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专技岗位4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初中物理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物理与力学类；物理教育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专技岗位5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初中政治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哲学、政治学与马克思主义理论类;政治教育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专技岗位6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初中化学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化学化工类;化学教育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专技岗位7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初中历史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历史学与文物考古类;历史教育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专技岗位1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区直小学语文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硕士研究生35周岁及以下(1984年7月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  <w:lang w:val="en-US" w:eastAsia="zh-CN"/>
              </w:rPr>
              <w:t>28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日及以后出生)，博士研究生40周岁及以下(1979年7月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  <w:lang w:val="en-US" w:eastAsia="zh-CN"/>
              </w:rPr>
              <w:t>28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日及以后出生)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应届研究生及以上学历、硕士及以上学位。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汉语言与文秘类；语文教育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专技岗位2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区直小学语文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应往届研究生及以上学历、硕士及以上学位。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汉语言与文秘类;语文教育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3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专技岗位3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区直小学语文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研究生及以上学历、硕士及以上学位。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汉语言与文秘类;语文教育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服务基层岗位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专技岗位4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 xml:space="preserve">区直小学数学 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应届研究生及以上学历、硕士及以上学位。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数学与统计类;数学教育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专技岗位5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 xml:space="preserve">区直小学数学 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应往届研究生及以上学历、硕士及以上学位。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数学与统计类;数学教育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专技岗位6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 xml:space="preserve">区直小学数学 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研究生及以上学历、硕士及以上学位。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数学与统计类;数学教育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服务基层岗位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专技岗位7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区直小学英语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应届研究生及以上学历、硕士及以上学位。</w:t>
            </w:r>
          </w:p>
        </w:tc>
        <w:tc>
          <w:tcPr>
            <w:tcW w:w="4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0"/>
                <w:szCs w:val="21"/>
              </w:rPr>
              <w:t>外国语言文学类（仅限英语）；英语教育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31019"/>
    <w:rsid w:val="30A31019"/>
    <w:rsid w:val="54BD09EC"/>
    <w:rsid w:val="54FA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semiHidden/>
    <w:unhideWhenUsed/>
    <w:qFormat/>
    <w:uiPriority w:val="99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2020-07-28T10:14:00Z</dcterms:created>
  <dc:creator>僧哥</dc:creator>
  <cp:lastModifiedBy>ぺ灬cc果冻ル</cp:lastModifiedBy>
  <dcterms:modified xsi:type="dcterms:W3CDTF">2020-07-29T02:48:15Z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