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555" w:lineRule="atLeast"/>
        <w:ind w:left="0" w:right="0" w:firstLine="645"/>
        <w:jc w:val="center"/>
        <w:rPr>
          <w:rFonts w:ascii="微软雅黑" w:hAnsi="微软雅黑" w:eastAsia="微软雅黑" w:cs="微软雅黑"/>
          <w:color w:val="333333"/>
        </w:rPr>
      </w:pPr>
      <w:r>
        <w:rPr>
          <w:rFonts w:ascii="仿宋_GB2312" w:hAnsi="微软雅黑" w:eastAsia="仿宋_GB2312" w:cs="仿宋_GB2312"/>
          <w:b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tbl>
      <w:tblPr>
        <w:tblW w:w="9780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5"/>
        <w:gridCol w:w="1740"/>
        <w:gridCol w:w="1335"/>
        <w:gridCol w:w="1005"/>
        <w:gridCol w:w="1200"/>
        <w:gridCol w:w="1215"/>
        <w:gridCol w:w="1215"/>
        <w:gridCol w:w="133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ascii="黑体" w:hAnsi="宋体" w:eastAsia="黑体" w:cs="黑体"/>
                <w:b w:val="0"/>
                <w:color w:val="333333"/>
                <w:sz w:val="24"/>
                <w:szCs w:val="24"/>
                <w:shd w:val="clear" w:fill="FFFFFF"/>
              </w:rPr>
              <w:t>序号</w:t>
            </w:r>
          </w:p>
        </w:tc>
        <w:tc>
          <w:tcPr>
            <w:tcW w:w="17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4"/>
                <w:szCs w:val="24"/>
                <w:shd w:val="clear" w:fill="FFFFFF"/>
              </w:rPr>
              <w:t>企业名称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4"/>
                <w:szCs w:val="24"/>
                <w:shd w:val="clear" w:fill="FFFFFF"/>
              </w:rPr>
              <w:t>职位代码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4"/>
                <w:szCs w:val="24"/>
                <w:shd w:val="clear" w:fill="FFFFFF"/>
              </w:rPr>
              <w:t>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4"/>
                <w:szCs w:val="24"/>
                <w:shd w:val="clear" w:fill="FFFFFF"/>
              </w:rPr>
              <w:t>名称</w:t>
            </w: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4"/>
                <w:szCs w:val="24"/>
                <w:shd w:val="clear" w:fill="FFFFFF"/>
              </w:rPr>
              <w:t>计划招聘人数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4"/>
                <w:szCs w:val="24"/>
                <w:shd w:val="clear" w:fill="FFFFFF"/>
              </w:rPr>
              <w:t>招考开考比例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4"/>
                <w:szCs w:val="24"/>
                <w:shd w:val="clear" w:fill="FFFFFF"/>
              </w:rPr>
              <w:t>实际报名人数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b w:val="0"/>
                <w:color w:val="333333"/>
                <w:sz w:val="24"/>
                <w:szCs w:val="24"/>
                <w:shd w:val="clear" w:fill="FFFFFF"/>
              </w:rPr>
              <w:t>取消核减情况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7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ascii="仿宋" w:hAnsi="仿宋" w:eastAsia="仿宋" w:cs="仿宋"/>
                <w:b w:val="0"/>
                <w:color w:val="333333"/>
                <w:sz w:val="24"/>
                <w:szCs w:val="24"/>
                <w:shd w:val="clear" w:fill="FFFFFF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4"/>
                <w:szCs w:val="24"/>
                <w:shd w:val="clear" w:fill="FFFFFF"/>
              </w:rPr>
              <w:t>抚州高新财投有限公司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4"/>
                <w:szCs w:val="24"/>
                <w:shd w:val="clear" w:fill="FFFFFF"/>
              </w:rPr>
              <w:t>101002007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4"/>
                <w:szCs w:val="24"/>
                <w:shd w:val="clear" w:fill="FFFFFF"/>
              </w:rPr>
              <w:t>法务岗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4"/>
                <w:szCs w:val="24"/>
                <w:shd w:val="clear" w:fill="FFFFFF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4"/>
                <w:szCs w:val="24"/>
                <w:shd w:val="clear" w:fill="FFFFFF"/>
              </w:rPr>
              <w:t>3:1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4"/>
                <w:szCs w:val="24"/>
                <w:shd w:val="clear" w:fill="FFFFFF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仿宋" w:hAnsi="仿宋" w:eastAsia="仿宋" w:cs="仿宋"/>
                <w:b w:val="0"/>
                <w:color w:val="333333"/>
                <w:sz w:val="24"/>
                <w:szCs w:val="24"/>
                <w:shd w:val="clear" w:fill="FFFFFF"/>
              </w:rPr>
              <w:t>取消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600" w:lineRule="atLeast"/>
        <w:ind w:left="0" w:right="0" w:firstLine="645"/>
        <w:jc w:val="both"/>
        <w:rPr>
          <w:rFonts w:hint="eastAsia" w:ascii="微软雅黑" w:hAnsi="微软雅黑" w:eastAsia="微软雅黑" w:cs="微软雅黑"/>
          <w:color w:val="333333"/>
        </w:rPr>
      </w:pPr>
      <w:r>
        <w:rPr>
          <w:rFonts w:hint="default" w:ascii="仿宋_GB2312" w:hAnsi="微软雅黑" w:eastAsia="仿宋_GB2312" w:cs="仿宋_GB2312"/>
          <w:b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C1561"/>
    <w:rsid w:val="63AC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2020-07-13T01:58:00Z</dcterms:created>
  <dc:creator>Administrator</dc:creator>
  <cp:lastModifiedBy>Administrator</cp:lastModifiedBy>
  <dcterms:modified xsi:type="dcterms:W3CDTF">2020-07-13T01:59:24Z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