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jc w:val="left"/>
        <w:textAlignment w:val="auto"/>
        <w:outlineLvl w:val="9"/>
        <w:rPr>
          <w:rStyle w:val="5"/>
          <w:rFonts w:hint="eastAsia" w:ascii="微软雅黑" w:hAnsi="微软雅黑" w:eastAsia="微软雅黑" w:cs="微软雅黑"/>
          <w:b w:val="0"/>
          <w:i w:val="0"/>
          <w:caps w:val="0"/>
          <w:color w:val="auto"/>
          <w:spacing w:val="0"/>
          <w:sz w:val="21"/>
          <w:szCs w:val="21"/>
          <w:lang w:eastAsia="zh-CN"/>
        </w:rPr>
      </w:pPr>
      <w:r>
        <w:rPr>
          <w:rStyle w:val="5"/>
          <w:rFonts w:hint="eastAsia" w:ascii="微软雅黑" w:hAnsi="微软雅黑" w:eastAsia="微软雅黑" w:cs="微软雅黑"/>
          <w:b w:val="0"/>
          <w:i w:val="0"/>
          <w:caps w:val="0"/>
          <w:color w:val="auto"/>
          <w:spacing w:val="0"/>
          <w:sz w:val="21"/>
          <w:szCs w:val="21"/>
          <w:lang w:eastAsia="zh-CN"/>
        </w:rPr>
        <w:t>附：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jc w:val="left"/>
        <w:textAlignment w:val="auto"/>
        <w:outlineLvl w:val="9"/>
        <w:rPr>
          <w:rStyle w:val="5"/>
          <w:rFonts w:hint="eastAsia" w:ascii="微软雅黑" w:hAnsi="微软雅黑" w:eastAsia="微软雅黑" w:cs="微软雅黑"/>
          <w:b w:val="0"/>
          <w:i w:val="0"/>
          <w:caps w:val="0"/>
          <w:color w:val="auto"/>
          <w:spacing w:val="0"/>
          <w:sz w:val="21"/>
          <w:szCs w:val="21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center"/>
        <w:textAlignment w:val="auto"/>
        <w:outlineLvl w:val="9"/>
        <w:rPr>
          <w:rFonts w:hint="eastAsia" w:ascii="楷体_GB2312" w:hAnsi="楷体_GB2312" w:eastAsia="楷体_GB2312" w:cs="楷体_GB2312"/>
          <w:b w:val="0"/>
          <w:i w:val="0"/>
          <w:caps w:val="0"/>
          <w:color w:val="auto"/>
          <w:spacing w:val="0"/>
          <w:sz w:val="28"/>
          <w:szCs w:val="28"/>
          <w:lang w:eastAsia="zh-CN"/>
        </w:rPr>
      </w:pPr>
      <w:bookmarkStart w:id="0" w:name="_GoBack"/>
      <w:r>
        <w:rPr>
          <w:rStyle w:val="5"/>
          <w:rFonts w:hint="eastAsia" w:ascii="方正大标宋简体" w:hAnsi="方正大标宋简体" w:eastAsia="方正大标宋简体" w:cs="方正大标宋简体"/>
          <w:b w:val="0"/>
          <w:i w:val="0"/>
          <w:caps w:val="0"/>
          <w:color w:val="auto"/>
          <w:spacing w:val="0"/>
          <w:sz w:val="36"/>
          <w:szCs w:val="36"/>
          <w:lang w:val="en-US" w:eastAsia="zh-CN"/>
        </w:rPr>
        <w:t>鄂东医疗集团市中心医院（中心院区）岗位信息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_GB2312" w:hAnsi="楷体_GB2312" w:eastAsia="楷体_GB2312" w:cs="楷体_GB2312"/>
          <w:color w:val="auto"/>
          <w:sz w:val="28"/>
          <w:szCs w:val="28"/>
          <w:lang w:val="en-US" w:eastAsia="zh-CN"/>
        </w:rPr>
      </w:pPr>
    </w:p>
    <w:tbl>
      <w:tblPr>
        <w:tblStyle w:val="3"/>
        <w:tblW w:w="10785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5"/>
        <w:gridCol w:w="585"/>
        <w:gridCol w:w="615"/>
        <w:gridCol w:w="1575"/>
        <w:gridCol w:w="2355"/>
        <w:gridCol w:w="399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166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58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人数</w:t>
            </w:r>
          </w:p>
        </w:tc>
        <w:tc>
          <w:tcPr>
            <w:tcW w:w="61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岗位类别</w:t>
            </w:r>
          </w:p>
        </w:tc>
        <w:tc>
          <w:tcPr>
            <w:tcW w:w="79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招  聘  条  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6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学历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</w:t>
            </w: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职称资格条件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6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神经外科医师</w:t>
            </w:r>
          </w:p>
        </w:tc>
        <w:tc>
          <w:tcPr>
            <w:tcW w:w="5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6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5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23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神经外科专业</w:t>
            </w:r>
          </w:p>
        </w:tc>
        <w:tc>
          <w:tcPr>
            <w:tcW w:w="39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全日制普通高校，研究生学历，硕士及以上学位，需具备执业资格，已完成规培。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6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生殖医学科医师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生殖医学专业</w:t>
            </w:r>
          </w:p>
        </w:tc>
        <w:tc>
          <w:tcPr>
            <w:tcW w:w="3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全日制普通高校，研究生学历，硕士及以上学位，需具备执业资格，已完成规培。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665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急诊科医师</w:t>
            </w:r>
          </w:p>
        </w:tc>
        <w:tc>
          <w:tcPr>
            <w:tcW w:w="58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235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临床医学专业</w:t>
            </w:r>
          </w:p>
        </w:tc>
        <w:tc>
          <w:tcPr>
            <w:tcW w:w="399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本科及以上学历，具备执业资格、副主任医师及以上职称（创伤外科或外科全科专业）。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6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（外科）</w:t>
            </w:r>
          </w:p>
        </w:tc>
        <w:tc>
          <w:tcPr>
            <w:tcW w:w="58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5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9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665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急诊科医师</w:t>
            </w:r>
          </w:p>
        </w:tc>
        <w:tc>
          <w:tcPr>
            <w:tcW w:w="58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235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急诊、ICU等相关专业</w:t>
            </w:r>
          </w:p>
        </w:tc>
        <w:tc>
          <w:tcPr>
            <w:tcW w:w="399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全日制普通高校，研究生学历，硕士及以上学位，需具备执业资格，主治医师及以上职称。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6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（内科）</w:t>
            </w:r>
          </w:p>
        </w:tc>
        <w:tc>
          <w:tcPr>
            <w:tcW w:w="58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5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9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66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医学检验科医师</w:t>
            </w:r>
          </w:p>
        </w:tc>
        <w:tc>
          <w:tcPr>
            <w:tcW w:w="58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本科临床医学专业</w:t>
            </w:r>
          </w:p>
        </w:tc>
        <w:tc>
          <w:tcPr>
            <w:tcW w:w="399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全日制普通高校，研究生学历，硕士及以上学位，具备执业资格。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66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硕士医学检验专业</w:t>
            </w:r>
          </w:p>
        </w:tc>
        <w:tc>
          <w:tcPr>
            <w:tcW w:w="399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6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消化内科医师（2病区）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临床医学专业</w:t>
            </w:r>
          </w:p>
        </w:tc>
        <w:tc>
          <w:tcPr>
            <w:tcW w:w="3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全日制普通高校，研究生学历，硕士及以上学位，具备执业资格，已完成规培。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6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重症医学科医师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重症医学专业</w:t>
            </w:r>
          </w:p>
        </w:tc>
        <w:tc>
          <w:tcPr>
            <w:tcW w:w="3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全日制普通高校，研究生学历，硕士及以上学位，具备执业资格，已完成规培。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16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营养科医师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临床医学专业</w:t>
            </w:r>
          </w:p>
        </w:tc>
        <w:tc>
          <w:tcPr>
            <w:tcW w:w="3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全日制普通高校，本科及以上学历，学士及以上学位，具备执业资格，主治医师职称。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16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公共卫生科（儿保、心理门诊）医师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临床医学专业</w:t>
            </w:r>
          </w:p>
        </w:tc>
        <w:tc>
          <w:tcPr>
            <w:tcW w:w="3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全日制普通高校，本科及以上学历，学士及以上学位，具备执业资格，已完成规培。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16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医学检验科技师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医技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医学检验专业</w:t>
            </w:r>
          </w:p>
        </w:tc>
        <w:tc>
          <w:tcPr>
            <w:tcW w:w="3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全日制普通高校，研究生及以上学历，硕士及以上学位。具备技师资格者优先。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6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儿科I技师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医技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康复治疗学等专业</w:t>
            </w:r>
          </w:p>
        </w:tc>
        <w:tc>
          <w:tcPr>
            <w:tcW w:w="3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本科及以上学历。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6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红旗桥社区卫生服务中心（公卫）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公卫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临床医学相关专业</w:t>
            </w:r>
          </w:p>
        </w:tc>
        <w:tc>
          <w:tcPr>
            <w:tcW w:w="3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大专及以上学历，年龄40周岁以下（时间计算至2020年12月31日止）。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16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红旗桥社区卫生服务中心（全科医学）医师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临床医学专业</w:t>
            </w:r>
          </w:p>
        </w:tc>
        <w:tc>
          <w:tcPr>
            <w:tcW w:w="3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本科及以上学历，具备执业资格，主治及以上职称，年龄40周岁以下（时间计算至2020年12月31日止）。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6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红旗桥社区卫生服务中心康复技师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医技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康复治疗相关专业</w:t>
            </w:r>
          </w:p>
        </w:tc>
        <w:tc>
          <w:tcPr>
            <w:tcW w:w="3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大专及以上学历，初级及以上职称。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16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红旗桥社区卫生服务中心护理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护理专业</w:t>
            </w:r>
          </w:p>
        </w:tc>
        <w:tc>
          <w:tcPr>
            <w:tcW w:w="3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大专及以上学历，具备护士执业资格，年龄35周岁以下（时间计算至2020年12月31日止）。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_GB2312" w:hAnsi="楷体_GB2312" w:eastAsia="楷体_GB2312" w:cs="楷体_GB2312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_GB2312" w:hAnsi="楷体_GB2312" w:eastAsia="楷体_GB2312" w:cs="楷体_GB2312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_GB2312" w:hAnsi="楷体_GB2312" w:eastAsia="楷体_GB2312" w:cs="楷体_GB2312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_GB2312" w:hAnsi="楷体_GB2312" w:eastAsia="楷体_GB2312" w:cs="楷体_GB2312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_GB2312" w:hAnsi="楷体_GB2312" w:eastAsia="楷体_GB2312" w:cs="楷体_GB2312"/>
          <w:color w:val="auto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center"/>
        <w:textAlignment w:val="auto"/>
        <w:outlineLvl w:val="9"/>
        <w:rPr>
          <w:rStyle w:val="5"/>
          <w:rFonts w:hint="eastAsia" w:ascii="方正大标宋简体" w:hAnsi="方正大标宋简体" w:eastAsia="方正大标宋简体" w:cs="方正大标宋简体"/>
          <w:b w:val="0"/>
          <w:i w:val="0"/>
          <w:caps w:val="0"/>
          <w:color w:val="auto"/>
          <w:spacing w:val="0"/>
          <w:sz w:val="36"/>
          <w:szCs w:val="36"/>
          <w:lang w:val="en-US" w:eastAsia="zh-CN"/>
        </w:rPr>
      </w:pPr>
      <w:r>
        <w:rPr>
          <w:rStyle w:val="5"/>
          <w:rFonts w:hint="eastAsia" w:ascii="方正大标宋简体" w:hAnsi="方正大标宋简体" w:eastAsia="方正大标宋简体" w:cs="方正大标宋简体"/>
          <w:b w:val="0"/>
          <w:i w:val="0"/>
          <w:caps w:val="0"/>
          <w:color w:val="auto"/>
          <w:spacing w:val="0"/>
          <w:sz w:val="36"/>
          <w:szCs w:val="36"/>
          <w:lang w:val="en-US" w:eastAsia="zh-CN"/>
        </w:rPr>
        <w:t>鄂东医疗集团市中心医院（普爱院区）岗位信息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center"/>
        <w:textAlignment w:val="auto"/>
        <w:outlineLvl w:val="9"/>
        <w:rPr>
          <w:rStyle w:val="5"/>
          <w:rFonts w:hint="eastAsia" w:ascii="方正大标宋简体" w:hAnsi="方正大标宋简体" w:eastAsia="方正大标宋简体" w:cs="方正大标宋简体"/>
          <w:b w:val="0"/>
          <w:i w:val="0"/>
          <w:caps w:val="0"/>
          <w:color w:val="auto"/>
          <w:spacing w:val="0"/>
          <w:sz w:val="36"/>
          <w:szCs w:val="36"/>
          <w:lang w:val="en-US" w:eastAsia="zh-CN"/>
        </w:rPr>
      </w:pPr>
    </w:p>
    <w:tbl>
      <w:tblPr>
        <w:tblStyle w:val="3"/>
        <w:tblW w:w="10392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25"/>
        <w:gridCol w:w="735"/>
        <w:gridCol w:w="555"/>
        <w:gridCol w:w="1500"/>
        <w:gridCol w:w="1995"/>
        <w:gridCol w:w="418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14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人数</w:t>
            </w:r>
          </w:p>
        </w:tc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岗位类别</w:t>
            </w:r>
          </w:p>
        </w:tc>
        <w:tc>
          <w:tcPr>
            <w:tcW w:w="76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招  聘  条  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4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学历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</w:t>
            </w:r>
          </w:p>
        </w:tc>
        <w:tc>
          <w:tcPr>
            <w:tcW w:w="4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职称资格条件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1425" w:type="dxa"/>
            <w:vMerge w:val="restart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乳腺肿瘤外1科医师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55" w:type="dxa"/>
            <w:vMerge w:val="restart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5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全日制硕士研究生及以上  </w:t>
            </w:r>
          </w:p>
        </w:tc>
        <w:tc>
          <w:tcPr>
            <w:tcW w:w="19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乳腺、甲状腺外科专业</w:t>
            </w:r>
          </w:p>
        </w:tc>
        <w:tc>
          <w:tcPr>
            <w:tcW w:w="418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全日制普通高校，研究生及以上学历，硕士及以上学位，非应届毕业生必须具备执业资格。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1425" w:type="dxa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55" w:type="dxa"/>
            <w:vMerge w:val="continue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全日制本科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临床医学专业</w:t>
            </w: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全日制普通高校，本科及以上学历，学士及以上学位，非应届毕业生必须具备执业资格。35周岁以下（时间计算至2020年12月31日止）。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14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急诊科医师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临床医学专业</w:t>
            </w:r>
          </w:p>
        </w:tc>
        <w:tc>
          <w:tcPr>
            <w:tcW w:w="418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全日制普通高校，本科及以上学历，学士及以上学位，非应届毕业生必须具备执业资格。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超声影像科医师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医学影像专业</w:t>
            </w:r>
          </w:p>
        </w:tc>
        <w:tc>
          <w:tcPr>
            <w:tcW w:w="4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全日制普通高校，本科及以上学历，学士及以上学位，非应届毕业生必须具备执业资格。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jc w:val="left"/>
        <w:textAlignment w:val="auto"/>
        <w:outlineLvl w:val="9"/>
        <w:rPr>
          <w:rFonts w:hint="eastAsia" w:ascii="楷体_GB2312" w:hAnsi="楷体_GB2312" w:eastAsia="楷体_GB2312" w:cs="楷体_GB2312"/>
          <w:b w:val="0"/>
          <w:i w:val="0"/>
          <w:caps w:val="0"/>
          <w:color w:val="auto"/>
          <w:spacing w:val="0"/>
          <w:sz w:val="28"/>
          <w:szCs w:val="28"/>
          <w:lang w:eastAsia="zh-CN"/>
        </w:rPr>
      </w:pP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_GB2312" w:hAnsi="楷体_GB2312" w:eastAsia="楷体_GB2312" w:cs="楷体_GB2312"/>
          <w:color w:val="auto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</w:p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7B2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石红兵</dc:creator>
  <cp:lastModifiedBy>石红兵</cp:lastModifiedBy>
  <dcterms:modified xsi:type="dcterms:W3CDTF">2020-07-09T06:58:29Z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