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69F" w:rsidRDefault="0029269F" w:rsidP="0029269F">
      <w:pPr>
        <w:rPr>
          <w:rFonts w:ascii="黑体" w:eastAsia="黑体" w:hAnsi="黑体" w:cs="黑体" w:hint="eastAsia"/>
          <w:b/>
          <w:bCs/>
          <w:sz w:val="32"/>
          <w:szCs w:val="32"/>
        </w:rPr>
      </w:pPr>
      <w:bookmarkStart w:id="0" w:name="_Hlk42027832"/>
      <w:r>
        <w:rPr>
          <w:rFonts w:ascii="仿宋" w:eastAsia="仿宋" w:hAnsi="仿宋" w:cs="仿宋" w:hint="eastAsia"/>
          <w:b/>
          <w:bCs/>
          <w:sz w:val="28"/>
          <w:szCs w:val="28"/>
        </w:rPr>
        <w:t>附件</w:t>
      </w:r>
      <w:r>
        <w:rPr>
          <w:rFonts w:ascii="仿宋" w:eastAsia="仿宋" w:hAnsi="仿宋" w:cs="仿宋"/>
          <w:b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：</w:t>
      </w:r>
    </w:p>
    <w:bookmarkEnd w:id="0"/>
    <w:p w:rsidR="0029269F" w:rsidRDefault="0029269F" w:rsidP="0029269F">
      <w:pPr>
        <w:spacing w:beforeLines="50" w:before="156" w:afterLines="50" w:after="156"/>
        <w:jc w:val="center"/>
        <w:rPr>
          <w:rFonts w:ascii="黑体" w:eastAsia="黑体" w:hAnsi="黑体" w:cs="黑体" w:hint="eastAsia"/>
          <w:bCs/>
          <w:sz w:val="36"/>
          <w:szCs w:val="32"/>
        </w:rPr>
      </w:pPr>
      <w:r>
        <w:rPr>
          <w:rFonts w:ascii="黑体" w:eastAsia="黑体" w:hAnsi="黑体" w:cs="黑体" w:hint="eastAsia"/>
          <w:bCs/>
          <w:sz w:val="36"/>
          <w:szCs w:val="32"/>
        </w:rPr>
        <w:t>济南市章丘区青未了幼儿园招聘幼儿园副园长及教师职位表</w:t>
      </w:r>
    </w:p>
    <w:tbl>
      <w:tblPr>
        <w:tblW w:w="13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1"/>
        <w:gridCol w:w="1171"/>
        <w:gridCol w:w="992"/>
        <w:gridCol w:w="992"/>
        <w:gridCol w:w="1276"/>
        <w:gridCol w:w="3402"/>
        <w:gridCol w:w="2270"/>
        <w:gridCol w:w="1946"/>
      </w:tblGrid>
      <w:tr w:rsidR="0029269F" w:rsidTr="0029269F">
        <w:trPr>
          <w:trHeight w:val="203"/>
          <w:tblHeader/>
          <w:jc w:val="center"/>
        </w:trPr>
        <w:tc>
          <w:tcPr>
            <w:tcW w:w="1941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园所</w:t>
            </w:r>
          </w:p>
        </w:tc>
        <w:tc>
          <w:tcPr>
            <w:tcW w:w="1171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岗位名称</w:t>
            </w:r>
          </w:p>
        </w:tc>
        <w:tc>
          <w:tcPr>
            <w:tcW w:w="992" w:type="dxa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计划</w:t>
            </w:r>
          </w:p>
        </w:tc>
        <w:tc>
          <w:tcPr>
            <w:tcW w:w="992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1276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学历要求</w:t>
            </w:r>
          </w:p>
        </w:tc>
        <w:tc>
          <w:tcPr>
            <w:tcW w:w="3402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专业要求</w:t>
            </w:r>
          </w:p>
        </w:tc>
        <w:tc>
          <w:tcPr>
            <w:tcW w:w="2270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工作经验</w:t>
            </w:r>
          </w:p>
        </w:tc>
        <w:tc>
          <w:tcPr>
            <w:tcW w:w="1946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29269F" w:rsidTr="0029269F">
        <w:trPr>
          <w:trHeight w:val="615"/>
          <w:jc w:val="center"/>
        </w:trPr>
        <w:tc>
          <w:tcPr>
            <w:tcW w:w="1941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青未了</w:t>
            </w:r>
            <w:proofErr w:type="gramStart"/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古城园</w:t>
            </w:r>
            <w:proofErr w:type="gramEnd"/>
          </w:p>
        </w:tc>
        <w:tc>
          <w:tcPr>
            <w:tcW w:w="1171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副园长</w:t>
            </w:r>
          </w:p>
        </w:tc>
        <w:tc>
          <w:tcPr>
            <w:tcW w:w="992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45岁以下</w:t>
            </w:r>
          </w:p>
        </w:tc>
        <w:tc>
          <w:tcPr>
            <w:tcW w:w="1276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大专及以上学历</w:t>
            </w:r>
          </w:p>
        </w:tc>
        <w:tc>
          <w:tcPr>
            <w:tcW w:w="3402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学前教育及其他</w:t>
            </w:r>
            <w:r>
              <w:rPr>
                <w:rFonts w:ascii="仿宋" w:eastAsia="仿宋" w:hAnsi="仿宋" w:cs="仿宋"/>
                <w:sz w:val="28"/>
                <w:szCs w:val="28"/>
              </w:rPr>
              <w:t>教育类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专</w:t>
            </w:r>
            <w:r>
              <w:rPr>
                <w:rFonts w:ascii="仿宋" w:eastAsia="仿宋" w:hAnsi="仿宋" w:cs="仿宋"/>
                <w:sz w:val="28"/>
                <w:szCs w:val="28"/>
              </w:rPr>
              <w:t>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  <w:tc>
          <w:tcPr>
            <w:tcW w:w="2270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中大型幼儿园工作5年以上，任副园长以上岗位2年以上。</w:t>
            </w:r>
          </w:p>
        </w:tc>
        <w:tc>
          <w:tcPr>
            <w:tcW w:w="1946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地级市以上教育局颁发的园长证</w:t>
            </w:r>
          </w:p>
        </w:tc>
      </w:tr>
      <w:tr w:rsidR="0029269F" w:rsidTr="0029269F">
        <w:trPr>
          <w:trHeight w:val="471"/>
          <w:jc w:val="center"/>
        </w:trPr>
        <w:tc>
          <w:tcPr>
            <w:tcW w:w="1941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青未了</w:t>
            </w:r>
            <w:proofErr w:type="gramStart"/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绣阳园</w:t>
            </w:r>
            <w:proofErr w:type="gramEnd"/>
          </w:p>
        </w:tc>
        <w:tc>
          <w:tcPr>
            <w:tcW w:w="1171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270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29269F" w:rsidTr="0029269F">
        <w:trPr>
          <w:trHeight w:val="615"/>
          <w:jc w:val="center"/>
        </w:trPr>
        <w:tc>
          <w:tcPr>
            <w:tcW w:w="1941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青</w:t>
            </w:r>
            <w:proofErr w:type="gramStart"/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未了查旧园</w:t>
            </w:r>
            <w:proofErr w:type="gramEnd"/>
          </w:p>
        </w:tc>
        <w:tc>
          <w:tcPr>
            <w:tcW w:w="1171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270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29269F" w:rsidTr="0029269F">
        <w:trPr>
          <w:trHeight w:val="1166"/>
          <w:jc w:val="center"/>
        </w:trPr>
        <w:tc>
          <w:tcPr>
            <w:tcW w:w="1941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青未了</w:t>
            </w:r>
            <w:proofErr w:type="gramStart"/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古城园</w:t>
            </w:r>
            <w:proofErr w:type="gramEnd"/>
          </w:p>
        </w:tc>
        <w:tc>
          <w:tcPr>
            <w:tcW w:w="1171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教师</w:t>
            </w:r>
          </w:p>
        </w:tc>
        <w:tc>
          <w:tcPr>
            <w:tcW w:w="992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28</w:t>
            </w:r>
          </w:p>
        </w:tc>
        <w:tc>
          <w:tcPr>
            <w:tcW w:w="992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40岁以下</w:t>
            </w:r>
          </w:p>
        </w:tc>
        <w:tc>
          <w:tcPr>
            <w:tcW w:w="1276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大专及以上学历</w:t>
            </w:r>
          </w:p>
        </w:tc>
        <w:tc>
          <w:tcPr>
            <w:tcW w:w="3402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满</w:t>
            </w:r>
            <w:r>
              <w:rPr>
                <w:rFonts w:ascii="仿宋" w:eastAsia="仿宋" w:hAnsi="仿宋" w:cs="仿宋"/>
                <w:sz w:val="28"/>
                <w:szCs w:val="28"/>
              </w:rPr>
              <w:t>足以下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任意</w:t>
            </w:r>
            <w:r>
              <w:rPr>
                <w:rFonts w:ascii="仿宋" w:eastAsia="仿宋" w:hAnsi="仿宋" w:cs="仿宋"/>
                <w:sz w:val="28"/>
                <w:szCs w:val="28"/>
              </w:rPr>
              <w:t>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个</w:t>
            </w:r>
            <w:r>
              <w:rPr>
                <w:rFonts w:ascii="仿宋" w:eastAsia="仿宋" w:hAnsi="仿宋" w:cs="仿宋"/>
                <w:sz w:val="28"/>
                <w:szCs w:val="28"/>
              </w:rPr>
              <w:t>：</w:t>
            </w:r>
          </w:p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①专</w:t>
            </w:r>
            <w:r>
              <w:rPr>
                <w:rFonts w:ascii="仿宋" w:eastAsia="仿宋" w:hAnsi="仿宋" w:cs="仿宋"/>
                <w:sz w:val="28"/>
                <w:szCs w:val="28"/>
              </w:rPr>
              <w:t>科以上学历且有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教</w:t>
            </w:r>
            <w:r>
              <w:rPr>
                <w:rFonts w:ascii="仿宋" w:eastAsia="仿宋" w:hAnsi="仿宋" w:cs="仿宋"/>
                <w:sz w:val="28"/>
                <w:szCs w:val="28"/>
              </w:rPr>
              <w:t>师资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格</w:t>
            </w:r>
            <w:r>
              <w:rPr>
                <w:rFonts w:ascii="仿宋" w:eastAsia="仿宋" w:hAnsi="仿宋" w:cs="仿宋"/>
                <w:sz w:val="28"/>
                <w:szCs w:val="28"/>
              </w:rPr>
              <w:t>证书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cs="仿宋"/>
                <w:sz w:val="28"/>
                <w:szCs w:val="28"/>
              </w:rPr>
              <w:t>专业不限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②</w:t>
            </w:r>
            <w:r>
              <w:rPr>
                <w:rFonts w:ascii="仿宋" w:eastAsia="仿宋" w:hAnsi="仿宋" w:cs="仿宋"/>
                <w:sz w:val="28"/>
                <w:szCs w:val="28"/>
              </w:rPr>
              <w:t>全日制专科及以上学历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，学前教育及其他</w:t>
            </w:r>
            <w:r>
              <w:rPr>
                <w:rFonts w:ascii="仿宋" w:eastAsia="仿宋" w:hAnsi="仿宋" w:cs="仿宋"/>
                <w:sz w:val="28"/>
                <w:szCs w:val="28"/>
              </w:rPr>
              <w:t>教育类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专</w:t>
            </w:r>
            <w:r>
              <w:rPr>
                <w:rFonts w:ascii="仿宋" w:eastAsia="仿宋" w:hAnsi="仿宋" w:cs="仿宋"/>
                <w:sz w:val="28"/>
                <w:szCs w:val="28"/>
              </w:rPr>
              <w:t>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、音乐与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舞蹈学类专</w:t>
            </w:r>
            <w:r>
              <w:rPr>
                <w:rFonts w:ascii="仿宋" w:eastAsia="仿宋" w:hAnsi="仿宋" w:cs="仿宋"/>
                <w:sz w:val="28"/>
                <w:szCs w:val="28"/>
              </w:rPr>
              <w:t>业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美术学类专</w:t>
            </w:r>
            <w:r>
              <w:rPr>
                <w:rFonts w:ascii="仿宋" w:eastAsia="仿宋" w:hAnsi="仿宋" w:cs="仿宋"/>
                <w:sz w:val="28"/>
                <w:szCs w:val="28"/>
              </w:rPr>
              <w:t>业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  <w:tc>
          <w:tcPr>
            <w:tcW w:w="2270" w:type="dxa"/>
            <w:vMerge w:val="restart"/>
            <w:vAlign w:val="center"/>
          </w:tcPr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幼儿园教师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岗工作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1年及以上。 </w:t>
            </w:r>
          </w:p>
        </w:tc>
        <w:tc>
          <w:tcPr>
            <w:tcW w:w="1946" w:type="dxa"/>
            <w:vMerge w:val="restart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符合“先上岗，后考证”阶段性措施条件的高校毕业</w:t>
            </w:r>
            <w:r>
              <w:rPr>
                <w:rFonts w:ascii="仿宋" w:eastAsia="仿宋" w:hAnsi="仿宋" w:cs="仿宋"/>
                <w:sz w:val="28"/>
                <w:szCs w:val="28"/>
              </w:rPr>
              <w:t>生可报考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（学历证书须在20</w:t>
            </w:r>
            <w:r>
              <w:rPr>
                <w:rFonts w:ascii="仿宋" w:eastAsia="仿宋" w:hAnsi="仿宋" w:cs="仿宋"/>
                <w:sz w:val="28"/>
                <w:szCs w:val="28"/>
              </w:rPr>
              <w:t>20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年7月31日前取得）。</w:t>
            </w:r>
          </w:p>
        </w:tc>
      </w:tr>
      <w:tr w:rsidR="0029269F" w:rsidTr="0029269F">
        <w:trPr>
          <w:trHeight w:val="1167"/>
          <w:jc w:val="center"/>
        </w:trPr>
        <w:tc>
          <w:tcPr>
            <w:tcW w:w="1941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青未了</w:t>
            </w:r>
            <w:proofErr w:type="gramStart"/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绣阳园</w:t>
            </w:r>
            <w:proofErr w:type="gramEnd"/>
          </w:p>
        </w:tc>
        <w:tc>
          <w:tcPr>
            <w:tcW w:w="1171" w:type="dxa"/>
            <w:vMerge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18</w:t>
            </w:r>
          </w:p>
        </w:tc>
        <w:tc>
          <w:tcPr>
            <w:tcW w:w="992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270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29269F" w:rsidTr="0029269F">
        <w:trPr>
          <w:trHeight w:val="1167"/>
          <w:jc w:val="center"/>
        </w:trPr>
        <w:tc>
          <w:tcPr>
            <w:tcW w:w="1941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青</w:t>
            </w:r>
            <w:proofErr w:type="gramStart"/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未了查旧园</w:t>
            </w:r>
            <w:proofErr w:type="gramEnd"/>
          </w:p>
        </w:tc>
        <w:tc>
          <w:tcPr>
            <w:tcW w:w="1171" w:type="dxa"/>
            <w:vMerge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2270" w:type="dxa"/>
            <w:vMerge/>
            <w:vAlign w:val="center"/>
          </w:tcPr>
          <w:p w:rsidR="0029269F" w:rsidRDefault="0029269F" w:rsidP="00CB732F">
            <w:pPr>
              <w:spacing w:line="440" w:lineRule="exact"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946" w:type="dxa"/>
            <w:vMerge/>
          </w:tcPr>
          <w:p w:rsidR="0029269F" w:rsidRDefault="0029269F" w:rsidP="00CB732F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:rsidR="0029269F" w:rsidRDefault="0029269F" w:rsidP="0029269F">
      <w:pPr>
        <w:ind w:firstLineChars="200" w:firstLine="560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>要</w:t>
      </w:r>
      <w:r>
        <w:rPr>
          <w:rFonts w:ascii="仿宋" w:eastAsia="仿宋" w:hAnsi="仿宋" w:cs="黑体"/>
          <w:bCs/>
          <w:sz w:val="28"/>
          <w:szCs w:val="28"/>
        </w:rPr>
        <w:t>求：</w:t>
      </w:r>
      <w:r>
        <w:rPr>
          <w:rFonts w:ascii="仿宋" w:eastAsia="仿宋" w:hAnsi="仿宋" w:cs="黑体" w:hint="eastAsia"/>
          <w:bCs/>
          <w:sz w:val="28"/>
          <w:szCs w:val="28"/>
        </w:rPr>
        <w:t>副园长岗位不区分园所，统一报考；教师岗位应聘</w:t>
      </w:r>
      <w:r>
        <w:rPr>
          <w:rFonts w:ascii="仿宋" w:eastAsia="仿宋" w:hAnsi="仿宋" w:cs="黑体"/>
          <w:bCs/>
          <w:sz w:val="28"/>
          <w:szCs w:val="28"/>
        </w:rPr>
        <w:t>人员</w:t>
      </w:r>
      <w:r>
        <w:rPr>
          <w:rFonts w:ascii="仿宋" w:eastAsia="仿宋" w:hAnsi="仿宋" w:cs="黑体" w:hint="eastAsia"/>
          <w:bCs/>
          <w:sz w:val="28"/>
          <w:szCs w:val="28"/>
        </w:rPr>
        <w:t>限</w:t>
      </w:r>
      <w:r>
        <w:rPr>
          <w:rFonts w:ascii="仿宋" w:eastAsia="仿宋" w:hAnsi="仿宋" w:cs="黑体"/>
          <w:bCs/>
          <w:sz w:val="28"/>
          <w:szCs w:val="28"/>
        </w:rPr>
        <w:t>报一</w:t>
      </w:r>
      <w:r>
        <w:rPr>
          <w:rFonts w:ascii="仿宋" w:eastAsia="仿宋" w:hAnsi="仿宋" w:cs="黑体" w:hint="eastAsia"/>
          <w:bCs/>
          <w:sz w:val="28"/>
          <w:szCs w:val="28"/>
        </w:rPr>
        <w:t>个园</w:t>
      </w:r>
      <w:r>
        <w:rPr>
          <w:rFonts w:ascii="仿宋" w:eastAsia="仿宋" w:hAnsi="仿宋" w:cs="黑体"/>
          <w:bCs/>
          <w:sz w:val="28"/>
          <w:szCs w:val="28"/>
        </w:rPr>
        <w:t>所</w:t>
      </w:r>
      <w:r>
        <w:rPr>
          <w:rFonts w:ascii="仿宋" w:eastAsia="仿宋" w:hAnsi="仿宋" w:cs="黑体" w:hint="eastAsia"/>
          <w:bCs/>
          <w:sz w:val="28"/>
          <w:szCs w:val="28"/>
        </w:rPr>
        <w:t>。</w:t>
      </w:r>
      <w:bookmarkStart w:id="1" w:name="_GoBack"/>
      <w:bookmarkEnd w:id="1"/>
    </w:p>
    <w:sectPr w:rsidR="0029269F" w:rsidSect="0029269F">
      <w:footerReference w:type="even" r:id="rId4"/>
      <w:footerReference w:type="default" r:id="rId5"/>
      <w:pgSz w:w="16838" w:h="11906" w:orient="landscape"/>
      <w:pgMar w:top="1560" w:right="1440" w:bottom="1276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D22" w:rsidRDefault="0029269F">
    <w:pPr>
      <w:pStyle w:val="a4"/>
      <w:framePr w:wrap="around" w:vAnchor="text" w:hAnchor="margin" w:xAlign="center" w:y="3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D47D22" w:rsidRDefault="0029269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D22" w:rsidRDefault="0029269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2BC484" wp14:editId="631EBB7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17145" b="1270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47D22" w:rsidRDefault="0029269F">
                          <w:pPr>
                            <w:pStyle w:val="a4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BC48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" filled="f" stroked="f">
              <v:path arrowok="t"/>
              <v:textbox style="mso-fit-shape-to-text:t" inset="0,0,0,0">
                <w:txbxContent>
                  <w:p w:rsidR="00D47D22" w:rsidRDefault="0029269F">
                    <w:pPr>
                      <w:pStyle w:val="a4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3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9F"/>
    <w:rsid w:val="0029269F"/>
    <w:rsid w:val="00357246"/>
    <w:rsid w:val="0095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EBB6546-960C-486D-B2E8-51681445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6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29269F"/>
  </w:style>
  <w:style w:type="paragraph" w:styleId="a4">
    <w:name w:val="footer"/>
    <w:basedOn w:val="a"/>
    <w:link w:val="Char"/>
    <w:qFormat/>
    <w:rsid w:val="0029269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4"/>
    <w:rsid w:val="0029269F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2E7D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>Sinopec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李彦平</dc:creator>
  <cp:keywords/>
  <dc:description/>
  <cp:lastModifiedBy>李彦平</cp:lastModifiedBy>
  <cp:revision>1</cp:revision>
  <dcterms:created xsi:type="dcterms:W3CDTF">2020-07-03T06:45:00Z</dcterms:created>
  <dcterms:modified xsi:type="dcterms:W3CDTF">2020-07-03T06:46:00Z</dcterms:modified>
</cp:coreProperties>
</file>