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2"/>
        <w:gridCol w:w="1592"/>
        <w:gridCol w:w="541"/>
        <w:gridCol w:w="8050"/>
      </w:tblGrid>
      <w:tr w:rsidR="0059382B" w:rsidRPr="0059382B" w:rsidTr="0059382B">
        <w:trPr>
          <w:trHeight w:val="60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科室</w:t>
            </w: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专业要求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人数</w:t>
            </w:r>
          </w:p>
        </w:tc>
        <w:tc>
          <w:tcPr>
            <w:tcW w:w="8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备注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呼吸内科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呼吸内科方向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心血管内科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一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心血管内科方向，1.第一学历全日制本科，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本硕博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为同一专业。2.具有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规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培证书。3.有意愿从事介入工作。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心血管内科二病区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心血管内科方向，已获得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规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培证书者优先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消化内科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消化内科方向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肾内科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要求本硕博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同为肾脏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病方向</w:t>
            </w:r>
            <w:proofErr w:type="gramEnd"/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血液内科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一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2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血液病学方向，已取得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规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培证书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血液内科</w:t>
            </w: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二病区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2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血液病学方向，已取得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规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培证书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肿瘤放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化疗科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肿瘤学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要求本硕博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为同一专业，要求医师执业证书已注册为肿瘤内科，或者完成规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首次注册，但执业范围尚未确定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内分泌科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内分泌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代谢学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方向，已取得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规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培证书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神经内科一、三病区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神经病学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要求本硕博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为同一专业，科研岗位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神经内科二、四病区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神经病学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已取得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规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培证书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神经重症病房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神经病学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宋体" w:eastAsia="宋体" w:hAnsi="宋体" w:cs="宋体" w:hint="eastAsia"/>
                <w:color w:val="666666"/>
                <w:kern w:val="0"/>
                <w:sz w:val="30"/>
                <w:szCs w:val="30"/>
              </w:rPr>
              <w:t> </w:t>
            </w: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神经介入方向，能独立完成脑血管造影、机械取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栓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术者优先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老年病科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老年医学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完成规培，医师执业证书已注册为老年内科，或者完成规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首次注册，但执业范围尚未确定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全科医学科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全科医学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完成规培，执业医师为全科医学专业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感染性疾病科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普通外科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胃肠外科、肝胆外科、腺体外科方向，</w:t>
            </w:r>
          </w:p>
        </w:tc>
      </w:tr>
      <w:tr w:rsidR="0059382B" w:rsidRPr="0059382B" w:rsidTr="0059382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9382B" w:rsidRPr="0059382B" w:rsidRDefault="0059382B" w:rsidP="0059382B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胃肠外科、肝胆外科、腺体外科方向，临床或科研岗位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神经外科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一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基础医学类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基础医学方向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神经外科二病区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神经科学基础研究，科研岗位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胸外科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胸外科方向，初始学历为本科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心脏大血管外科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2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心脏外科或血管外科方向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泌尿外科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临床医学或外科学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骨科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基础医学类、生物医学工程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组织工程方向、骨与软骨再生方向、干细胞研究方向，科研岗位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骨科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一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骨科方向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骨科二病区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骨科方向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烧伤整形</w:t>
            </w: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烧伤方向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9382B" w:rsidRPr="0059382B" w:rsidRDefault="0059382B" w:rsidP="0059382B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外科学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整形方向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肿瘤外科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肿瘤学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要求本硕博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为同一专业，要求医师执业证书已注册为肿瘤外科，或者完成规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首次注册，但执业范围尚未确定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妇产科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妇产科学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具有国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自然或者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省自然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优先，妇科肿瘤专业优先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儿科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儿科学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要求为新生儿专业毕业或者在新生儿专业工作5年以上。</w:t>
            </w:r>
          </w:p>
        </w:tc>
      </w:tr>
      <w:tr w:rsidR="0059382B" w:rsidRPr="0059382B" w:rsidTr="0059382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9382B" w:rsidRPr="0059382B" w:rsidRDefault="0059382B" w:rsidP="0059382B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儿科学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要求为儿科专业毕业或者在儿科专业工作5年以上。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急诊科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急诊医学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有工作经验者优先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重症医学科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一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病区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内科学或老年医学或外科学或急诊医学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要求医师执业证书已经注册为重症医学或者完成规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首次注册，但执业范围尚未确定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重症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医学科二病区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重症医学方向，要求医师执业证书已经注册为重症医学或者完成规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首次注册，但执业范围尚未确定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眼科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眼科学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要求硕博同为眼科方向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耳鼻喉科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康复医学与理疗学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听力及言语康复方向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口腔科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口腔临床医学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儿童口腔医学方向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口腔正畸修复科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口腔医学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口腔修复方向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介入医学科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影像医学与核医学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康复医学科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康复医学与理疗学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皮肤科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皮肤病与性病学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具有皮肤病与性病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规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培合格证书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中医科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针灸推拿学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</w:tr>
      <w:tr w:rsidR="0059382B" w:rsidRPr="0059382B" w:rsidTr="0059382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9382B" w:rsidRPr="0059382B" w:rsidRDefault="0059382B" w:rsidP="0059382B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中医内科学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中西医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结合科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中西医结合类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血液净化室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内科学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要求本硕博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为同一专业</w:t>
            </w:r>
          </w:p>
        </w:tc>
      </w:tr>
      <w:tr w:rsidR="0059382B" w:rsidRPr="0059382B" w:rsidTr="0059382B">
        <w:trPr>
          <w:trHeight w:val="855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放疗科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肿瘤学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肿瘤放射治疗方向优先，要求医师执业证书已经注册为医学影像和放射治疗或者完成规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首次注册，但执业范围尚未确定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查体科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公共卫生与预防医学类或健康服务与管理类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麻醉科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麻醉学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要求硕博为同一专业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医学影像科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影像医学与核医学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2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本科为临床专业或医学影像专业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超声科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影像医学与核医学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3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超声医学方向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核医学科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影像医学与核医学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检验科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临床检验</w:t>
            </w: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诊断学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要求医师执业证书已经注册为医学检验与病理或者完成规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首次注册，但执业范围尚未确定</w:t>
            </w:r>
          </w:p>
        </w:tc>
      </w:tr>
      <w:tr w:rsidR="0059382B" w:rsidRPr="0059382B" w:rsidTr="0059382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9382B" w:rsidRPr="0059382B" w:rsidRDefault="0059382B" w:rsidP="0059382B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免疫学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要求医师执业证书已经注册为医学检验与病理或者完成规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首次注册，但执业范围尚未确定</w:t>
            </w:r>
          </w:p>
        </w:tc>
      </w:tr>
      <w:tr w:rsidR="0059382B" w:rsidRPr="0059382B" w:rsidTr="0059382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9382B" w:rsidRPr="0059382B" w:rsidRDefault="0059382B" w:rsidP="0059382B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病原生物学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要求医师执业证书已经注册为医学检验与病理或者完成规</w:t>
            </w: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培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首次注册，但执业范围尚未确定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病理科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遗传学、细胞生物学、生物化学与分子生物学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科研岗位</w:t>
            </w:r>
          </w:p>
        </w:tc>
      </w:tr>
      <w:tr w:rsidR="0059382B" w:rsidRPr="0059382B" w:rsidTr="0059382B">
        <w:trPr>
          <w:trHeight w:val="72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9382B" w:rsidRPr="0059382B" w:rsidRDefault="0059382B" w:rsidP="0059382B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临床病理学、病理学与病理生</w:t>
            </w: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理学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从事病理诊断工作，病理学与病理生理学专业者要求初始学历为本科临床医学</w:t>
            </w:r>
          </w:p>
        </w:tc>
      </w:tr>
      <w:tr w:rsidR="0059382B" w:rsidRPr="0059382B" w:rsidTr="0059382B">
        <w:trPr>
          <w:trHeight w:val="660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lastRenderedPageBreak/>
              <w:t>输血科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proofErr w:type="gramStart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要求本硕博</w:t>
            </w:r>
            <w:proofErr w:type="gramEnd"/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为同一专业</w:t>
            </w:r>
          </w:p>
        </w:tc>
      </w:tr>
      <w:tr w:rsidR="0059382B" w:rsidRPr="0059382B" w:rsidTr="0059382B">
        <w:trPr>
          <w:trHeight w:val="1005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药学部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药学、药理学、药物化学、药剂学、药物分析学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382B" w:rsidRPr="0059382B" w:rsidRDefault="0059382B" w:rsidP="0059382B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0"/>
                <w:szCs w:val="20"/>
              </w:rPr>
            </w:pPr>
            <w:r w:rsidRPr="0059382B">
              <w:rPr>
                <w:rFonts w:ascii="仿宋" w:eastAsia="仿宋" w:hAnsi="仿宋" w:cs="宋体" w:hint="eastAsia"/>
                <w:color w:val="666666"/>
                <w:kern w:val="0"/>
                <w:sz w:val="30"/>
                <w:szCs w:val="30"/>
              </w:rPr>
              <w:t>限西药方向</w:t>
            </w:r>
          </w:p>
        </w:tc>
      </w:tr>
    </w:tbl>
    <w:p w:rsidR="00360914" w:rsidRPr="0059382B" w:rsidRDefault="00360914" w:rsidP="0059382B">
      <w:bookmarkStart w:id="0" w:name="_GoBack"/>
      <w:bookmarkEnd w:id="0"/>
    </w:p>
    <w:sectPr w:rsidR="00360914" w:rsidRPr="0059382B" w:rsidSect="0059382B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D9" w:rsidRDefault="00FE71D9" w:rsidP="008E7F20">
      <w:r>
        <w:separator/>
      </w:r>
    </w:p>
  </w:endnote>
  <w:endnote w:type="continuationSeparator" w:id="0">
    <w:p w:rsidR="00FE71D9" w:rsidRDefault="00FE71D9" w:rsidP="008E7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740403"/>
      <w:docPartObj>
        <w:docPartGallery w:val="Page Numbers (Bottom of Page)"/>
        <w:docPartUnique/>
      </w:docPartObj>
    </w:sdtPr>
    <w:sdtEndPr/>
    <w:sdtContent>
      <w:p w:rsidR="008E7F20" w:rsidRDefault="008E7F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82B" w:rsidRPr="0059382B">
          <w:rPr>
            <w:noProof/>
            <w:lang w:val="zh-CN"/>
          </w:rPr>
          <w:t>9</w:t>
        </w:r>
        <w:r>
          <w:fldChar w:fldCharType="end"/>
        </w:r>
      </w:p>
    </w:sdtContent>
  </w:sdt>
  <w:p w:rsidR="008E7F20" w:rsidRDefault="008E7F2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D9" w:rsidRDefault="00FE71D9" w:rsidP="008E7F20">
      <w:r>
        <w:separator/>
      </w:r>
    </w:p>
  </w:footnote>
  <w:footnote w:type="continuationSeparator" w:id="0">
    <w:p w:rsidR="00FE71D9" w:rsidRDefault="00FE71D9" w:rsidP="008E7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06E737"/>
    <w:multiLevelType w:val="singleLevel"/>
    <w:tmpl w:val="B706E73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0F"/>
    <w:rsid w:val="000E3835"/>
    <w:rsid w:val="00105D36"/>
    <w:rsid w:val="001B1E80"/>
    <w:rsid w:val="001B26D7"/>
    <w:rsid w:val="003352DB"/>
    <w:rsid w:val="00360914"/>
    <w:rsid w:val="003C6698"/>
    <w:rsid w:val="00485AEC"/>
    <w:rsid w:val="004D7FBB"/>
    <w:rsid w:val="0059382B"/>
    <w:rsid w:val="005A235F"/>
    <w:rsid w:val="005D56B3"/>
    <w:rsid w:val="005E48B4"/>
    <w:rsid w:val="00670E98"/>
    <w:rsid w:val="006E01E7"/>
    <w:rsid w:val="00752BE9"/>
    <w:rsid w:val="008149F7"/>
    <w:rsid w:val="00896A1F"/>
    <w:rsid w:val="008E7F20"/>
    <w:rsid w:val="009315D7"/>
    <w:rsid w:val="009C0647"/>
    <w:rsid w:val="009F3975"/>
    <w:rsid w:val="00A244D8"/>
    <w:rsid w:val="00A67C28"/>
    <w:rsid w:val="00A81FF5"/>
    <w:rsid w:val="00B14DCE"/>
    <w:rsid w:val="00B2077F"/>
    <w:rsid w:val="00B4261E"/>
    <w:rsid w:val="00BA7D0C"/>
    <w:rsid w:val="00BD2B1C"/>
    <w:rsid w:val="00C00643"/>
    <w:rsid w:val="00CB41CD"/>
    <w:rsid w:val="00CF7E0F"/>
    <w:rsid w:val="00DB0E7C"/>
    <w:rsid w:val="00DE046F"/>
    <w:rsid w:val="00E316DC"/>
    <w:rsid w:val="00FE71D9"/>
    <w:rsid w:val="03502A5B"/>
    <w:rsid w:val="0458639A"/>
    <w:rsid w:val="05736AFF"/>
    <w:rsid w:val="05F36156"/>
    <w:rsid w:val="07642C9A"/>
    <w:rsid w:val="08186BE3"/>
    <w:rsid w:val="083B335C"/>
    <w:rsid w:val="084C537E"/>
    <w:rsid w:val="0B293682"/>
    <w:rsid w:val="0B340D8B"/>
    <w:rsid w:val="0C2D69C6"/>
    <w:rsid w:val="0FE821E1"/>
    <w:rsid w:val="1A7E6949"/>
    <w:rsid w:val="1F142F22"/>
    <w:rsid w:val="203C65A8"/>
    <w:rsid w:val="2193583F"/>
    <w:rsid w:val="22006EB5"/>
    <w:rsid w:val="257B3E57"/>
    <w:rsid w:val="26185B5B"/>
    <w:rsid w:val="262F619E"/>
    <w:rsid w:val="26F24789"/>
    <w:rsid w:val="27220FC8"/>
    <w:rsid w:val="27673AC6"/>
    <w:rsid w:val="2D6F441E"/>
    <w:rsid w:val="2F2E5509"/>
    <w:rsid w:val="35621251"/>
    <w:rsid w:val="36ED54E1"/>
    <w:rsid w:val="38F57978"/>
    <w:rsid w:val="39616323"/>
    <w:rsid w:val="3B50115E"/>
    <w:rsid w:val="3CB26C35"/>
    <w:rsid w:val="3D373750"/>
    <w:rsid w:val="3F870799"/>
    <w:rsid w:val="42A62D87"/>
    <w:rsid w:val="43371251"/>
    <w:rsid w:val="43727ECF"/>
    <w:rsid w:val="44A6742C"/>
    <w:rsid w:val="453C2928"/>
    <w:rsid w:val="46665E34"/>
    <w:rsid w:val="49BB5D07"/>
    <w:rsid w:val="4C360A1E"/>
    <w:rsid w:val="4CDA1B30"/>
    <w:rsid w:val="4DCB7914"/>
    <w:rsid w:val="4F277518"/>
    <w:rsid w:val="4FB8030A"/>
    <w:rsid w:val="51AC087B"/>
    <w:rsid w:val="52290E05"/>
    <w:rsid w:val="52C76113"/>
    <w:rsid w:val="54786650"/>
    <w:rsid w:val="54BD71A5"/>
    <w:rsid w:val="56BF6DF1"/>
    <w:rsid w:val="57700370"/>
    <w:rsid w:val="5929004E"/>
    <w:rsid w:val="5D28273F"/>
    <w:rsid w:val="5DCF27EF"/>
    <w:rsid w:val="610935CD"/>
    <w:rsid w:val="62057EB4"/>
    <w:rsid w:val="62537FE2"/>
    <w:rsid w:val="62D57417"/>
    <w:rsid w:val="62E84464"/>
    <w:rsid w:val="636E24AC"/>
    <w:rsid w:val="65A715B2"/>
    <w:rsid w:val="65BF54F6"/>
    <w:rsid w:val="65E30548"/>
    <w:rsid w:val="66F51DD5"/>
    <w:rsid w:val="696D3D6E"/>
    <w:rsid w:val="6A3B4605"/>
    <w:rsid w:val="6CF16189"/>
    <w:rsid w:val="6DC87EDD"/>
    <w:rsid w:val="6ED64C17"/>
    <w:rsid w:val="74E12EB0"/>
    <w:rsid w:val="75D40E2A"/>
    <w:rsid w:val="77B578C8"/>
    <w:rsid w:val="7A4E77AA"/>
    <w:rsid w:val="7C98387B"/>
    <w:rsid w:val="7E302D24"/>
    <w:rsid w:val="7ED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BA7D0C"/>
  </w:style>
  <w:style w:type="paragraph" w:styleId="a7">
    <w:name w:val="Balloon Text"/>
    <w:basedOn w:val="a"/>
    <w:link w:val="Char1"/>
    <w:rsid w:val="00BD2B1C"/>
    <w:rPr>
      <w:sz w:val="18"/>
      <w:szCs w:val="18"/>
    </w:rPr>
  </w:style>
  <w:style w:type="character" w:customStyle="1" w:styleId="Char1">
    <w:name w:val="批注框文本 Char"/>
    <w:basedOn w:val="a0"/>
    <w:link w:val="a7"/>
    <w:rsid w:val="00BD2B1C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D7F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BA7D0C"/>
  </w:style>
  <w:style w:type="paragraph" w:styleId="a7">
    <w:name w:val="Balloon Text"/>
    <w:basedOn w:val="a"/>
    <w:link w:val="Char1"/>
    <w:rsid w:val="00BD2B1C"/>
    <w:rPr>
      <w:sz w:val="18"/>
      <w:szCs w:val="18"/>
    </w:rPr>
  </w:style>
  <w:style w:type="character" w:customStyle="1" w:styleId="Char1">
    <w:name w:val="批注框文本 Char"/>
    <w:basedOn w:val="a0"/>
    <w:link w:val="a7"/>
    <w:rsid w:val="00BD2B1C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D7F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278</Words>
  <Characters>1590</Characters>
  <Application>Microsoft Office Word</Application>
  <DocSecurity>0</DocSecurity>
  <Lines>13</Lines>
  <Paragraphs>3</Paragraphs>
  <ScaleCrop>false</ScaleCrop>
  <Company>微软中国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2</cp:revision>
  <cp:lastPrinted>2020-06-29T01:30:00Z</cp:lastPrinted>
  <dcterms:created xsi:type="dcterms:W3CDTF">2020-06-30T06:31:00Z</dcterms:created>
  <dcterms:modified xsi:type="dcterms:W3CDTF">2020-06-30T06:31:00Z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